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C6FFB">
      <w:pPr>
        <w:pStyle w:val="2"/>
        <w:spacing w:line="580" w:lineRule="exact"/>
        <w:rPr>
          <w:rFonts w:hint="eastAsia" w:eastAsia="方正黑体_GBK"/>
          <w:sz w:val="32"/>
          <w:szCs w:val="24"/>
          <w:lang w:eastAsia="zh-CN"/>
        </w:rPr>
      </w:pPr>
      <w:bookmarkStart w:id="0" w:name="_GoBack"/>
      <w:bookmarkEnd w:id="0"/>
      <w:r>
        <w:rPr>
          <w:rFonts w:eastAsia="方正黑体_GBK"/>
          <w:sz w:val="32"/>
          <w:szCs w:val="24"/>
        </w:rPr>
        <w:t>附件</w:t>
      </w:r>
      <w:r>
        <w:rPr>
          <w:rFonts w:hint="eastAsia" w:eastAsia="方正黑体_GBK"/>
          <w:sz w:val="32"/>
          <w:szCs w:val="24"/>
          <w:lang w:val="en-US" w:eastAsia="zh-CN"/>
        </w:rPr>
        <w:t>2</w:t>
      </w:r>
    </w:p>
    <w:p w14:paraId="37EA0FB1">
      <w:pPr>
        <w:spacing w:before="0" w:after="0" w:line="640" w:lineRule="exact"/>
        <w:jc w:val="center"/>
        <w:rPr>
          <w:rFonts w:ascii="Times New Roman" w:hAnsi="Times New Roman" w:eastAsia="方正小标宋_GBK"/>
          <w:sz w:val="44"/>
          <w:szCs w:val="44"/>
        </w:rPr>
      </w:pPr>
    </w:p>
    <w:p w14:paraId="2D009E35">
      <w:pPr>
        <w:spacing w:before="0" w:after="0" w:line="640" w:lineRule="exact"/>
        <w:jc w:val="center"/>
      </w:pPr>
      <w:r>
        <w:rPr>
          <w:rFonts w:ascii="Times New Roman" w:hAnsi="Times New Roman" w:eastAsia="方正小标宋_GBK"/>
          <w:sz w:val="44"/>
          <w:szCs w:val="44"/>
        </w:rPr>
        <w:t>成都市商务局支持农贸市场改造提升政策</w:t>
      </w:r>
    </w:p>
    <w:p w14:paraId="16D8AD6E">
      <w:pPr>
        <w:spacing w:before="0" w:after="0" w:line="640" w:lineRule="exact"/>
        <w:jc w:val="center"/>
      </w:pPr>
      <w:r>
        <w:rPr>
          <w:rFonts w:ascii="Times New Roman" w:hAnsi="Times New Roman" w:eastAsia="方正小标宋_GBK"/>
          <w:sz w:val="44"/>
          <w:szCs w:val="44"/>
        </w:rPr>
        <w:t>实施细则</w:t>
      </w:r>
    </w:p>
    <w:p w14:paraId="019B1E59">
      <w:pPr>
        <w:spacing w:before="0" w:after="0" w:line="580" w:lineRule="exact"/>
        <w:jc w:val="center"/>
      </w:pPr>
      <w:r>
        <w:rPr>
          <w:rFonts w:ascii="Times New Roman" w:hAnsi="Times New Roman" w:eastAsia="方正黑体_GBK"/>
          <w:sz w:val="32"/>
          <w:szCs w:val="32"/>
        </w:rPr>
        <w:t>（征求意见稿）</w:t>
      </w:r>
    </w:p>
    <w:p w14:paraId="67A99420">
      <w:pPr>
        <w:spacing w:before="0" w:after="0" w:line="580" w:lineRule="exact"/>
        <w:ind w:firstLine="640" w:firstLineChars="200"/>
      </w:pPr>
      <w:r>
        <w:rPr>
          <w:rFonts w:ascii="Times New Roman" w:hAnsi="Times New Roman" w:eastAsia="方正黑体_GBK"/>
          <w:sz w:val="32"/>
          <w:szCs w:val="32"/>
        </w:rPr>
        <w:t>支持农贸市场改造提升</w:t>
      </w:r>
    </w:p>
    <w:p w14:paraId="2941B00C">
      <w:pPr>
        <w:spacing w:before="0" w:after="0" w:line="580" w:lineRule="exact"/>
        <w:ind w:firstLine="640" w:firstLineChars="200"/>
        <w:jc w:val="both"/>
      </w:pPr>
      <w:r>
        <w:rPr>
          <w:rFonts w:ascii="Times New Roman" w:hAnsi="Times New Roman" w:eastAsia="方正仿宋_GBK"/>
          <w:sz w:val="32"/>
          <w:szCs w:val="32"/>
        </w:rPr>
        <w:t>1. 事项内容：对农贸市场改造提升给予财政奖励支持。</w:t>
      </w:r>
    </w:p>
    <w:p w14:paraId="518DCBFB">
      <w:pPr>
        <w:spacing w:before="0" w:after="0" w:line="580" w:lineRule="exact"/>
        <w:ind w:firstLine="640" w:firstLineChars="200"/>
        <w:jc w:val="both"/>
      </w:pPr>
      <w:r>
        <w:rPr>
          <w:rFonts w:ascii="Times New Roman" w:hAnsi="Times New Roman" w:eastAsia="方正仿宋_GBK"/>
          <w:sz w:val="32"/>
          <w:szCs w:val="32"/>
        </w:rPr>
        <w:t>2. 事项分类：易申快享</w:t>
      </w:r>
    </w:p>
    <w:p w14:paraId="099F6076">
      <w:pPr>
        <w:spacing w:before="0" w:after="0" w:line="580" w:lineRule="exact"/>
        <w:ind w:firstLine="640" w:firstLineChars="200"/>
        <w:jc w:val="both"/>
      </w:pPr>
      <w:r>
        <w:rPr>
          <w:rFonts w:ascii="Times New Roman" w:hAnsi="Times New Roman" w:eastAsia="方正仿宋_GBK"/>
          <w:sz w:val="32"/>
          <w:szCs w:val="32"/>
        </w:rPr>
        <w:t>3. 主管部门：成都市商务局</w:t>
      </w:r>
    </w:p>
    <w:p w14:paraId="7E97F802">
      <w:pPr>
        <w:spacing w:before="0" w:after="0" w:line="580" w:lineRule="exact"/>
        <w:ind w:firstLine="640" w:firstLineChars="200"/>
        <w:jc w:val="both"/>
      </w:pPr>
      <w:r>
        <w:rPr>
          <w:rFonts w:ascii="Times New Roman" w:hAnsi="Times New Roman" w:eastAsia="方正仿宋_GBK"/>
          <w:sz w:val="32"/>
          <w:szCs w:val="32"/>
        </w:rPr>
        <w:t>4. 责任处室：社区商业处</w:t>
      </w:r>
    </w:p>
    <w:p w14:paraId="4C56E182">
      <w:pPr>
        <w:spacing w:before="0" w:after="0" w:line="580" w:lineRule="exact"/>
        <w:ind w:firstLine="640" w:firstLineChars="200"/>
        <w:jc w:val="both"/>
        <w:rPr>
          <w:rFonts w:hint="default" w:eastAsia="方正仿宋_GBK"/>
          <w:lang w:val="en-US" w:eastAsia="zh-CN"/>
        </w:rPr>
      </w:pPr>
      <w:r>
        <w:rPr>
          <w:rFonts w:ascii="Times New Roman" w:hAnsi="Times New Roman" w:eastAsia="方正仿宋_GBK"/>
          <w:sz w:val="32"/>
          <w:szCs w:val="32"/>
        </w:rPr>
        <w:t>5. 联系方式：028-6188</w:t>
      </w:r>
      <w:r>
        <w:rPr>
          <w:rFonts w:hint="eastAsia" w:ascii="Times New Roman" w:hAnsi="Times New Roman" w:eastAsia="方正仿宋_GBK"/>
          <w:sz w:val="32"/>
          <w:szCs w:val="32"/>
          <w:lang w:val="en-US" w:eastAsia="zh-CN"/>
        </w:rPr>
        <w:t>3758</w:t>
      </w:r>
    </w:p>
    <w:p w14:paraId="30E66B67">
      <w:pPr>
        <w:spacing w:before="0" w:after="0" w:line="580" w:lineRule="exact"/>
        <w:ind w:firstLine="640" w:firstLineChars="200"/>
        <w:jc w:val="both"/>
      </w:pPr>
      <w:r>
        <w:rPr>
          <w:rFonts w:ascii="Times New Roman" w:hAnsi="Times New Roman" w:eastAsia="方正仿宋_GBK"/>
          <w:sz w:val="32"/>
          <w:szCs w:val="32"/>
        </w:rPr>
        <w:t>6. 支持对象：在</w:t>
      </w:r>
      <w:r>
        <w:rPr>
          <w:rFonts w:hint="eastAsia" w:ascii="Times New Roman" w:hAnsi="Times New Roman" w:eastAsia="方正仿宋_GBK"/>
          <w:sz w:val="32"/>
          <w:szCs w:val="32"/>
          <w:lang w:eastAsia="zh-CN"/>
        </w:rPr>
        <w:t>成都市</w:t>
      </w:r>
      <w:r>
        <w:rPr>
          <w:rFonts w:ascii="Times New Roman" w:hAnsi="Times New Roman" w:eastAsia="方正仿宋_GBK"/>
          <w:sz w:val="32"/>
          <w:szCs w:val="32"/>
        </w:rPr>
        <w:t>依法正常经营，组织实施农贸市场改造提升的市场开办方或经营管理单位（含受二者委托统一组织实施的市场运营主体）。</w:t>
      </w:r>
    </w:p>
    <w:p w14:paraId="097E52E6">
      <w:pPr>
        <w:spacing w:before="0" w:after="0" w:line="58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7. 支持标准：根据农贸市场改造提升内容、</w:t>
      </w:r>
      <w:r>
        <w:rPr>
          <w:rFonts w:hint="eastAsia" w:ascii="Times New Roman" w:hAnsi="Times New Roman" w:eastAsia="方正仿宋_GBK"/>
          <w:sz w:val="32"/>
          <w:szCs w:val="32"/>
          <w:lang w:eastAsia="zh-CN"/>
        </w:rPr>
        <w:t>取得</w:t>
      </w:r>
      <w:r>
        <w:rPr>
          <w:rFonts w:ascii="Times New Roman" w:hAnsi="Times New Roman" w:eastAsia="方正仿宋_GBK"/>
          <w:sz w:val="32"/>
          <w:szCs w:val="32"/>
        </w:rPr>
        <w:t>成效进行综合</w:t>
      </w:r>
      <w:r>
        <w:rPr>
          <w:rFonts w:hint="eastAsia" w:ascii="Times New Roman" w:hAnsi="Times New Roman" w:eastAsia="方正仿宋_GBK"/>
          <w:sz w:val="32"/>
          <w:szCs w:val="32"/>
          <w:lang w:eastAsia="zh-CN"/>
        </w:rPr>
        <w:t>评比</w:t>
      </w:r>
      <w:r>
        <w:rPr>
          <w:rFonts w:ascii="Times New Roman" w:hAnsi="Times New Roman" w:eastAsia="方正仿宋_GBK"/>
          <w:sz w:val="32"/>
          <w:szCs w:val="32"/>
        </w:rPr>
        <w:t>，</w:t>
      </w:r>
      <w:r>
        <w:rPr>
          <w:rFonts w:hint="eastAsia" w:ascii="Times New Roman" w:hAnsi="Times New Roman" w:eastAsia="方正仿宋_GBK"/>
          <w:sz w:val="32"/>
          <w:szCs w:val="32"/>
          <w:lang w:eastAsia="zh-CN"/>
        </w:rPr>
        <w:t>在资金预算范围内分别</w:t>
      </w:r>
      <w:r>
        <w:rPr>
          <w:rFonts w:ascii="Times New Roman" w:hAnsi="Times New Roman" w:eastAsia="方正仿宋_GBK"/>
          <w:sz w:val="32"/>
          <w:szCs w:val="32"/>
        </w:rPr>
        <w:t>给予项目50万元、30万元、20万元定额奖励。</w:t>
      </w:r>
    </w:p>
    <w:p w14:paraId="4013FC40">
      <w:pPr>
        <w:spacing w:before="0" w:after="0" w:line="58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8. 申报条件：</w:t>
      </w:r>
    </w:p>
    <w:p w14:paraId="08C4B636">
      <w:pPr>
        <w:spacing w:before="0" w:after="0" w:line="58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（1）申报主体为项目实际实施主体（市场开办方或经营管理单位，含受其委托统一组织实施的市场运营主体），在本市行政区域内依法开办并实际经营农贸市场；</w:t>
      </w:r>
    </w:p>
    <w:p w14:paraId="1249E12A">
      <w:pPr>
        <w:spacing w:before="0" w:after="0" w:line="58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（2）近三年无重大违法违规行为，未被列入“信用中国”严重失信主体名单，所涉市场未发生负有责任的较大及以上安全生产事故或重大食品安全事件，且无拒不整改的重大消防安全隐患；</w:t>
      </w:r>
    </w:p>
    <w:p w14:paraId="1F8920FC">
      <w:pPr>
        <w:spacing w:before="0" w:after="0" w:line="58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（3）项目在年度</w:t>
      </w:r>
      <w:r>
        <w:rPr>
          <w:rFonts w:hint="eastAsia" w:ascii="Times New Roman" w:hAnsi="Times New Roman" w:eastAsia="方正仿宋_GBK"/>
          <w:sz w:val="32"/>
          <w:szCs w:val="32"/>
          <w:lang w:eastAsia="zh-CN"/>
        </w:rPr>
        <w:t>申报通知</w:t>
      </w:r>
      <w:r>
        <w:rPr>
          <w:rFonts w:ascii="Times New Roman" w:hAnsi="Times New Roman" w:eastAsia="方正仿宋_GBK"/>
          <w:sz w:val="32"/>
          <w:szCs w:val="32"/>
        </w:rPr>
        <w:t>规定的期限内实施完成，未享受过中央、省级、本市其他市级财政同类资金支持，同一改造内容未重复申报、多头申报；</w:t>
      </w:r>
    </w:p>
    <w:p w14:paraId="730AF9A5">
      <w:pPr>
        <w:spacing w:before="0" w:after="0" w:line="58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w:t>
      </w:r>
      <w:r>
        <w:rPr>
          <w:rFonts w:hint="eastAsia" w:ascii="Times New Roman" w:hAnsi="Times New Roman" w:eastAsia="方正仿宋_GBK"/>
          <w:sz w:val="32"/>
          <w:szCs w:val="32"/>
          <w:lang w:val="en-US" w:eastAsia="zh-CN"/>
        </w:rPr>
        <w:t>4</w:t>
      </w:r>
      <w:r>
        <w:rPr>
          <w:rFonts w:ascii="Times New Roman" w:hAnsi="Times New Roman" w:eastAsia="方正仿宋_GBK"/>
          <w:sz w:val="32"/>
          <w:szCs w:val="32"/>
        </w:rPr>
        <w:t>）项目所依托市场权属清晰，符合各类规划要求；</w:t>
      </w:r>
    </w:p>
    <w:p w14:paraId="688F4E0A">
      <w:pPr>
        <w:spacing w:before="0" w:after="0" w:line="580" w:lineRule="exact"/>
        <w:ind w:firstLine="640" w:firstLineChars="200"/>
        <w:jc w:val="both"/>
      </w:pPr>
      <w:r>
        <w:rPr>
          <w:rFonts w:ascii="Times New Roman" w:hAnsi="Times New Roman" w:eastAsia="方正仿宋_GBK"/>
          <w:sz w:val="32"/>
          <w:szCs w:val="32"/>
        </w:rPr>
        <w:t>（</w:t>
      </w:r>
      <w:r>
        <w:rPr>
          <w:rFonts w:hint="eastAsia" w:ascii="Times New Roman" w:hAnsi="Times New Roman" w:eastAsia="方正仿宋_GBK"/>
          <w:sz w:val="32"/>
          <w:szCs w:val="32"/>
          <w:lang w:val="en-US" w:eastAsia="zh-CN"/>
        </w:rPr>
        <w:t>5</w:t>
      </w:r>
      <w:r>
        <w:rPr>
          <w:rFonts w:ascii="Times New Roman" w:hAnsi="Times New Roman" w:eastAsia="方正仿宋_GBK"/>
          <w:sz w:val="32"/>
          <w:szCs w:val="32"/>
        </w:rPr>
        <w:t>）</w:t>
      </w:r>
      <w:r>
        <w:rPr>
          <w:rFonts w:hint="eastAsia" w:ascii="Times New Roman" w:hAnsi="Times New Roman" w:eastAsia="方正仿宋_GBK"/>
          <w:sz w:val="32"/>
          <w:szCs w:val="32"/>
          <w:lang w:eastAsia="zh-CN"/>
        </w:rPr>
        <w:t>不属于</w:t>
      </w:r>
      <w:r>
        <w:rPr>
          <w:rFonts w:ascii="Times New Roman" w:hAnsi="Times New Roman" w:eastAsia="方正仿宋_GBK"/>
          <w:sz w:val="32"/>
          <w:szCs w:val="32"/>
        </w:rPr>
        <w:t>新建市场</w:t>
      </w:r>
      <w:r>
        <w:rPr>
          <w:rFonts w:hint="eastAsia" w:ascii="Times New Roman" w:hAnsi="Times New Roman" w:eastAsia="方正仿宋_GBK"/>
          <w:sz w:val="32"/>
          <w:szCs w:val="32"/>
          <w:lang w:eastAsia="zh-CN"/>
        </w:rPr>
        <w:t>项目</w:t>
      </w:r>
      <w:r>
        <w:rPr>
          <w:rFonts w:ascii="Times New Roman" w:hAnsi="Times New Roman" w:eastAsia="方正仿宋_GBK"/>
          <w:sz w:val="32"/>
          <w:szCs w:val="32"/>
        </w:rPr>
        <w:t>。</w:t>
      </w:r>
    </w:p>
    <w:p w14:paraId="7DE41766">
      <w:pPr>
        <w:spacing w:before="0" w:after="0" w:line="58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9. 申报材料：</w:t>
      </w:r>
    </w:p>
    <w:p w14:paraId="1AB4DC52">
      <w:pPr>
        <w:spacing w:before="0" w:after="0" w:line="58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（1）《农贸市场改造提升项目申报表》；</w:t>
      </w:r>
    </w:p>
    <w:p w14:paraId="385B1200">
      <w:pPr>
        <w:spacing w:before="0" w:after="0" w:line="58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（2）项目实施方案（项目基本情况、改造目标、具体内容、费用预算及</w:t>
      </w:r>
      <w:r>
        <w:rPr>
          <w:rFonts w:hint="eastAsia" w:ascii="Times New Roman" w:hAnsi="Times New Roman" w:eastAsia="方正仿宋_GBK"/>
          <w:sz w:val="32"/>
          <w:szCs w:val="32"/>
          <w:lang w:eastAsia="zh-CN"/>
        </w:rPr>
        <w:t>取得成效</w:t>
      </w:r>
      <w:r>
        <w:rPr>
          <w:rFonts w:ascii="Times New Roman" w:hAnsi="Times New Roman" w:eastAsia="方正仿宋_GBK"/>
          <w:sz w:val="32"/>
          <w:szCs w:val="32"/>
        </w:rPr>
        <w:t>等）；</w:t>
      </w:r>
    </w:p>
    <w:p w14:paraId="10EA49A9">
      <w:pPr>
        <w:spacing w:before="0" w:after="0" w:line="58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（3）项目实际支出凭证（合同、发票、付款凭证等）；</w:t>
      </w:r>
    </w:p>
    <w:p w14:paraId="3AA4E466">
      <w:pPr>
        <w:spacing w:before="0" w:after="0" w:line="58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（4）营业执照（或主体登记证明）、无失信记录等佐证材料；</w:t>
      </w:r>
    </w:p>
    <w:p w14:paraId="122081A0">
      <w:pPr>
        <w:spacing w:before="0" w:after="0" w:line="580" w:lineRule="exact"/>
        <w:ind w:firstLine="640" w:firstLineChars="200"/>
        <w:jc w:val="both"/>
        <w:rPr>
          <w:rFonts w:hint="eastAsia" w:ascii="Times New Roman" w:hAnsi="Times New Roman" w:eastAsia="方正仿宋_GBK"/>
          <w:sz w:val="32"/>
          <w:szCs w:val="32"/>
          <w:lang w:eastAsia="zh-CN"/>
        </w:rPr>
      </w:pPr>
      <w:r>
        <w:rPr>
          <w:rFonts w:ascii="Times New Roman" w:hAnsi="Times New Roman" w:eastAsia="方正仿宋_GBK"/>
          <w:sz w:val="32"/>
          <w:szCs w:val="32"/>
        </w:rPr>
        <w:t>（5）改造前后对比照片</w:t>
      </w:r>
      <w:r>
        <w:rPr>
          <w:rFonts w:hint="eastAsia" w:ascii="Times New Roman" w:hAnsi="Times New Roman" w:eastAsia="方正仿宋_GBK"/>
          <w:sz w:val="32"/>
          <w:szCs w:val="32"/>
          <w:lang w:eastAsia="zh-CN"/>
        </w:rPr>
        <w:t>相关</w:t>
      </w:r>
      <w:r>
        <w:rPr>
          <w:rFonts w:ascii="Times New Roman" w:hAnsi="Times New Roman" w:eastAsia="方正仿宋_GBK"/>
          <w:sz w:val="32"/>
          <w:szCs w:val="32"/>
        </w:rPr>
        <w:t>影像</w:t>
      </w:r>
      <w:r>
        <w:rPr>
          <w:rFonts w:hint="eastAsia" w:ascii="Times New Roman" w:hAnsi="Times New Roman" w:eastAsia="方正仿宋_GBK"/>
          <w:sz w:val="32"/>
          <w:szCs w:val="32"/>
          <w:lang w:eastAsia="zh-CN"/>
        </w:rPr>
        <w:t>资料。</w:t>
      </w:r>
    </w:p>
    <w:p w14:paraId="000D0343">
      <w:pPr>
        <w:spacing w:before="0" w:after="0" w:line="580" w:lineRule="exact"/>
        <w:ind w:firstLine="640" w:firstLineChars="200"/>
        <w:jc w:val="both"/>
      </w:pPr>
      <w:r>
        <w:rPr>
          <w:rFonts w:ascii="Times New Roman" w:hAnsi="Times New Roman" w:eastAsia="方正仿宋_GBK"/>
          <w:sz w:val="32"/>
          <w:szCs w:val="32"/>
        </w:rPr>
        <w:t>具体材料清单以年度</w:t>
      </w:r>
      <w:r>
        <w:rPr>
          <w:rFonts w:hint="eastAsia" w:ascii="Times New Roman" w:hAnsi="Times New Roman" w:eastAsia="方正仿宋_GBK"/>
          <w:sz w:val="32"/>
          <w:szCs w:val="32"/>
          <w:lang w:eastAsia="zh-CN"/>
        </w:rPr>
        <w:t>申报通知</w:t>
      </w:r>
      <w:r>
        <w:rPr>
          <w:rFonts w:ascii="Times New Roman" w:hAnsi="Times New Roman" w:eastAsia="方正仿宋_GBK"/>
          <w:sz w:val="32"/>
          <w:szCs w:val="32"/>
        </w:rPr>
        <w:t>为准。</w:t>
      </w:r>
    </w:p>
    <w:p w14:paraId="15539FD8">
      <w:pPr>
        <w:spacing w:before="0" w:after="0" w:line="580" w:lineRule="exact"/>
        <w:ind w:firstLine="640" w:firstLineChars="200"/>
        <w:jc w:val="both"/>
      </w:pPr>
      <w:r>
        <w:rPr>
          <w:rFonts w:ascii="Times New Roman" w:hAnsi="Times New Roman" w:eastAsia="方正仿宋_GBK"/>
          <w:sz w:val="32"/>
          <w:szCs w:val="32"/>
        </w:rPr>
        <w:t>10. 申报渠道：“天府蓉易享”平台、成都市商务局“廉政风险防控和专项资金综合管理信息化平台”</w:t>
      </w:r>
    </w:p>
    <w:p w14:paraId="0004166F">
      <w:pPr>
        <w:spacing w:before="0" w:after="0" w:line="580" w:lineRule="exact"/>
        <w:ind w:firstLine="640" w:firstLineChars="200"/>
        <w:jc w:val="both"/>
      </w:pPr>
      <w:r>
        <w:rPr>
          <w:rFonts w:ascii="Times New Roman" w:hAnsi="Times New Roman" w:eastAsia="方正仿宋_GBK"/>
          <w:sz w:val="32"/>
          <w:szCs w:val="32"/>
        </w:rPr>
        <w:t>11. 申报时间：原则上每年集中组织一次。市商务局印发年度</w:t>
      </w:r>
      <w:r>
        <w:rPr>
          <w:rFonts w:hint="eastAsia" w:ascii="Times New Roman" w:hAnsi="Times New Roman" w:eastAsia="方正仿宋_GBK"/>
          <w:sz w:val="32"/>
          <w:szCs w:val="32"/>
          <w:lang w:eastAsia="zh-CN"/>
        </w:rPr>
        <w:t>申报</w:t>
      </w:r>
      <w:r>
        <w:rPr>
          <w:rFonts w:ascii="Times New Roman" w:hAnsi="Times New Roman" w:eastAsia="方正仿宋_GBK"/>
          <w:sz w:val="32"/>
          <w:szCs w:val="32"/>
        </w:rPr>
        <w:t>指南后，由各区（市）县商务主管部门组织本区域内符合条件的市场自主申报，具体申报起止时间以年度申报通知为准。</w:t>
      </w:r>
    </w:p>
    <w:p w14:paraId="764286AC">
      <w:pPr>
        <w:spacing w:before="0" w:after="0" w:line="580" w:lineRule="exact"/>
        <w:ind w:firstLine="640" w:firstLineChars="200"/>
        <w:jc w:val="both"/>
        <w:rPr>
          <w:rFonts w:eastAsia="方正仿宋_GBK"/>
          <w:kern w:val="2"/>
          <w:sz w:val="32"/>
          <w:szCs w:val="32"/>
          <w:lang w:bidi="ar"/>
        </w:rPr>
      </w:pPr>
      <w:r>
        <w:rPr>
          <w:rFonts w:ascii="Times New Roman" w:hAnsi="Times New Roman" w:eastAsia="方正仿宋_GBK"/>
          <w:sz w:val="32"/>
          <w:szCs w:val="32"/>
        </w:rPr>
        <w:t>12. 承诺兑现时间：拟</w:t>
      </w:r>
      <w:r>
        <w:rPr>
          <w:rFonts w:eastAsia="方正仿宋_GBK"/>
          <w:kern w:val="2"/>
          <w:sz w:val="32"/>
          <w:szCs w:val="32"/>
          <w:lang w:bidi="ar"/>
        </w:rPr>
        <w:t>申报截止之日起，50个工作日内完成项目审核及资金分配方案商务部门审批程序并报市政府终审；资金分配方案最终审批程序后10个工作日内完成资金拨付。</w:t>
      </w:r>
    </w:p>
    <w:p w14:paraId="68F9211A">
      <w:pPr>
        <w:spacing w:before="0" w:after="0" w:line="58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13. 审批环节及时限：</w:t>
      </w:r>
    </w:p>
    <w:p w14:paraId="51FFCEC6">
      <w:pPr>
        <w:pStyle w:val="3"/>
        <w:suppressAutoHyphens/>
        <w:spacing w:before="0" w:beforeAutospacing="0" w:after="0" w:afterAutospacing="0" w:line="580" w:lineRule="exact"/>
        <w:ind w:firstLine="640" w:firstLineChars="200"/>
        <w:jc w:val="both"/>
        <w:rPr>
          <w:rFonts w:eastAsia="方正仿宋_GBK"/>
          <w:kern w:val="2"/>
          <w:sz w:val="32"/>
          <w:szCs w:val="32"/>
        </w:rPr>
      </w:pPr>
      <w:r>
        <w:rPr>
          <w:rFonts w:eastAsia="方正仿宋_GBK"/>
          <w:kern w:val="2"/>
          <w:sz w:val="32"/>
          <w:szCs w:val="32"/>
          <w:lang w:bidi="ar"/>
        </w:rPr>
        <w:t>（1）区（市）县商务主管部门在7个工作日内完成申报材料初审，并将通过初审的企业申报材料汇总报送至市商务局。</w:t>
      </w:r>
    </w:p>
    <w:p w14:paraId="5C29869B">
      <w:pPr>
        <w:pStyle w:val="3"/>
        <w:suppressAutoHyphens/>
        <w:spacing w:before="0" w:beforeAutospacing="0" w:after="0" w:afterAutospacing="0" w:line="580" w:lineRule="exact"/>
        <w:ind w:firstLine="640" w:firstLineChars="200"/>
        <w:jc w:val="both"/>
        <w:rPr>
          <w:rFonts w:eastAsia="方正仿宋_GBK"/>
          <w:kern w:val="2"/>
          <w:sz w:val="32"/>
          <w:szCs w:val="32"/>
        </w:rPr>
      </w:pPr>
      <w:r>
        <w:rPr>
          <w:rFonts w:eastAsia="方正仿宋_GBK"/>
          <w:kern w:val="2"/>
          <w:sz w:val="32"/>
          <w:szCs w:val="32"/>
          <w:lang w:bidi="ar"/>
        </w:rPr>
        <w:t>（2）市商务局按照规定程序开展审核，初步确定</w:t>
      </w:r>
      <w:r>
        <w:rPr>
          <w:rFonts w:hint="eastAsia" w:eastAsia="方正仿宋_GBK"/>
          <w:kern w:val="2"/>
          <w:sz w:val="32"/>
          <w:szCs w:val="32"/>
          <w:lang w:eastAsia="zh-CN" w:bidi="ar"/>
        </w:rPr>
        <w:t>支持</w:t>
      </w:r>
      <w:r>
        <w:rPr>
          <w:rFonts w:eastAsia="方正仿宋_GBK"/>
          <w:kern w:val="2"/>
          <w:sz w:val="32"/>
          <w:szCs w:val="32"/>
          <w:lang w:bidi="ar"/>
        </w:rPr>
        <w:t>企业及</w:t>
      </w:r>
      <w:r>
        <w:rPr>
          <w:rFonts w:hint="eastAsia" w:eastAsia="方正仿宋_GBK"/>
          <w:kern w:val="2"/>
          <w:sz w:val="32"/>
          <w:szCs w:val="32"/>
          <w:lang w:eastAsia="zh-CN" w:bidi="ar"/>
        </w:rPr>
        <w:t>支持</w:t>
      </w:r>
      <w:r>
        <w:rPr>
          <w:rFonts w:eastAsia="方正仿宋_GBK"/>
          <w:kern w:val="2"/>
          <w:sz w:val="32"/>
          <w:szCs w:val="32"/>
          <w:lang w:bidi="ar"/>
        </w:rPr>
        <w:t>金额，在市商务局官网公示，时限38个工作日。</w:t>
      </w:r>
    </w:p>
    <w:p w14:paraId="3EE08513">
      <w:pPr>
        <w:pStyle w:val="3"/>
        <w:suppressAutoHyphens/>
        <w:spacing w:before="0" w:beforeAutospacing="0" w:after="0" w:afterAutospacing="0" w:line="580" w:lineRule="exact"/>
        <w:ind w:firstLine="640" w:firstLineChars="200"/>
        <w:jc w:val="both"/>
        <w:rPr>
          <w:rFonts w:eastAsia="方正仿宋_GBK"/>
          <w:kern w:val="2"/>
          <w:sz w:val="32"/>
          <w:szCs w:val="32"/>
        </w:rPr>
      </w:pPr>
      <w:r>
        <w:rPr>
          <w:rFonts w:eastAsia="方正仿宋_GBK"/>
          <w:kern w:val="2"/>
          <w:sz w:val="32"/>
          <w:szCs w:val="32"/>
          <w:lang w:bidi="ar"/>
        </w:rPr>
        <w:t>（3）市商务局制定资金分配方案并报市政府审核，时限5个工作日。</w:t>
      </w:r>
    </w:p>
    <w:p w14:paraId="1E3D6DCA">
      <w:pPr>
        <w:pStyle w:val="3"/>
        <w:suppressAutoHyphens/>
        <w:spacing w:before="0" w:beforeAutospacing="0" w:after="0" w:afterAutospacing="0" w:line="580" w:lineRule="exact"/>
        <w:ind w:firstLine="640" w:firstLineChars="200"/>
        <w:jc w:val="both"/>
        <w:rPr>
          <w:rFonts w:eastAsia="方正仿宋_GBK"/>
          <w:szCs w:val="24"/>
        </w:rPr>
      </w:pPr>
      <w:r>
        <w:rPr>
          <w:rFonts w:eastAsia="方正仿宋_GBK"/>
          <w:kern w:val="2"/>
          <w:sz w:val="32"/>
          <w:szCs w:val="32"/>
          <w:lang w:bidi="ar"/>
        </w:rPr>
        <w:t>（4）资金分配方案最终审批程序后10个工作日内完成资金拨付。</w:t>
      </w:r>
    </w:p>
    <w:p w14:paraId="65806CAB">
      <w:pPr>
        <w:spacing w:before="0" w:after="0" w:line="580" w:lineRule="exact"/>
        <w:ind w:firstLine="640" w:firstLineChars="200"/>
        <w:jc w:val="both"/>
      </w:pPr>
      <w:r>
        <w:rPr>
          <w:rFonts w:ascii="Times New Roman" w:hAnsi="Times New Roman" w:eastAsia="方正仿宋_GBK"/>
          <w:sz w:val="32"/>
          <w:szCs w:val="32"/>
        </w:rPr>
        <w:t>14. 政策有效期：</w:t>
      </w:r>
      <w:r>
        <w:rPr>
          <w:rFonts w:hint="eastAsia" w:ascii="Times New Roman" w:hAnsi="Times New Roman" w:eastAsia="方正仿宋_GBK"/>
          <w:sz w:val="32"/>
          <w:szCs w:val="32"/>
          <w:lang w:eastAsia="zh-CN"/>
        </w:rPr>
        <w:t>政策自发布之日起生效，有效期四年</w:t>
      </w:r>
      <w:r>
        <w:rPr>
          <w:rFonts w:ascii="Times New Roman" w:hAnsi="Times New Roman" w:eastAsia="方正仿宋_GBK"/>
          <w:sz w:val="32"/>
          <w:szCs w:val="32"/>
        </w:rPr>
        <w:t>。支持项目须在2026年1月1日至2028年12月31日</w:t>
      </w:r>
      <w:r>
        <w:rPr>
          <w:rFonts w:hint="eastAsia" w:ascii="Times New Roman" w:hAnsi="Times New Roman" w:eastAsia="方正仿宋_GBK"/>
          <w:sz w:val="32"/>
          <w:szCs w:val="32"/>
          <w:lang w:eastAsia="zh-CN"/>
        </w:rPr>
        <w:t>实际实施并完成改造提升</w:t>
      </w:r>
      <w:r>
        <w:rPr>
          <w:rFonts w:ascii="Times New Roman" w:hAnsi="Times New Roman" w:eastAsia="方正仿宋_GBK"/>
          <w:sz w:val="32"/>
          <w:szCs w:val="32"/>
        </w:rPr>
        <w:t>。</w:t>
      </w:r>
    </w:p>
    <w:p w14:paraId="7D49E256">
      <w:pPr>
        <w:spacing w:before="0" w:after="0" w:line="580" w:lineRule="exact"/>
        <w:ind w:firstLine="640" w:firstLineChars="200"/>
        <w:jc w:val="both"/>
      </w:pPr>
      <w:r>
        <w:rPr>
          <w:rFonts w:ascii="Times New Roman" w:hAnsi="Times New Roman" w:eastAsia="方正仿宋_GBK"/>
          <w:sz w:val="32"/>
          <w:szCs w:val="32"/>
        </w:rPr>
        <w:t>15. 其他需要明确的规则：</w:t>
      </w:r>
    </w:p>
    <w:p w14:paraId="7C3719F7">
      <w:pPr>
        <w:spacing w:before="0" w:after="0" w:line="580" w:lineRule="exact"/>
        <w:ind w:firstLine="640" w:firstLineChars="200"/>
        <w:jc w:val="both"/>
      </w:pPr>
      <w:r>
        <w:rPr>
          <w:rFonts w:ascii="Times New Roman" w:hAnsi="Times New Roman" w:eastAsia="方正仿宋_GBK"/>
          <w:sz w:val="32"/>
          <w:szCs w:val="32"/>
        </w:rPr>
        <w:t>（1）确保材料真实。申报单位对申报材料真实性负责，若提供虚假材料，申报单位承担相应法律责任。</w:t>
      </w:r>
    </w:p>
    <w:p w14:paraId="14C118EC">
      <w:pPr>
        <w:spacing w:before="0" w:after="0" w:line="580" w:lineRule="exact"/>
        <w:ind w:firstLine="640" w:firstLineChars="200"/>
        <w:jc w:val="both"/>
        <w:rPr>
          <w:rFonts w:ascii="Times New Roman" w:hAnsi="Times New Roman" w:eastAsia="方正黑体_GBK"/>
          <w:sz w:val="32"/>
          <w:szCs w:val="32"/>
        </w:rPr>
      </w:pPr>
      <w:r>
        <w:rPr>
          <w:rFonts w:ascii="Times New Roman" w:hAnsi="Times New Roman" w:eastAsia="方正仿宋_GBK"/>
          <w:sz w:val="32"/>
          <w:szCs w:val="32"/>
        </w:rPr>
        <w:t>（2）诚信合规经营。申报单位未被“信用中国”列入失信被执行人名单、严重失信主体名单、重大税收违法失信主体名单。</w:t>
      </w:r>
    </w:p>
    <w:sectPr>
      <w:pgSz w:w="11906" w:h="16838"/>
      <w:pgMar w:top="1985" w:right="1531" w:bottom="1871" w:left="1531" w:header="851" w:footer="1417" w:gutter="0"/>
      <w:cols w:space="720" w:num="1"/>
      <w:docGrid w:type="lines" w:linePitch="5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1"/>
  <w:bordersDoNotSurroundFooter w:val="1"/>
  <w:documentProtection w:enforcement="0"/>
  <w:defaultTabStop w:val="500"/>
  <w:hyphenationZone w:val="360"/>
  <w:displayHorizontalDrawingGridEvery w:val="1"/>
  <w:displayVerticalDrawingGridEvery w:val="1"/>
  <w:characterSpacingControl w:val="doNotCompres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FAC9F2"/>
    <w:rsid w:val="37BDB80A"/>
    <w:rsid w:val="37F99F1F"/>
    <w:rsid w:val="3B7B5CF3"/>
    <w:rsid w:val="59F5CAC5"/>
    <w:rsid w:val="5F9F8BF0"/>
    <w:rsid w:val="5FFBE468"/>
    <w:rsid w:val="639F30ED"/>
    <w:rsid w:val="67FDF490"/>
    <w:rsid w:val="70EFCB4B"/>
    <w:rsid w:val="77F7967B"/>
    <w:rsid w:val="7AFF76AD"/>
    <w:rsid w:val="7BEF6638"/>
    <w:rsid w:val="7E5F68C0"/>
    <w:rsid w:val="7FFFCC7D"/>
    <w:rsid w:val="837E83E9"/>
    <w:rsid w:val="8BBB83D9"/>
    <w:rsid w:val="9FE590C7"/>
    <w:rsid w:val="A7F1F35B"/>
    <w:rsid w:val="B7B59D70"/>
    <w:rsid w:val="BFCF9D4C"/>
    <w:rsid w:val="CAF4103F"/>
    <w:rsid w:val="D7FFEFDC"/>
    <w:rsid w:val="DF7D338B"/>
    <w:rsid w:val="EEEEDD8B"/>
    <w:rsid w:val="EFB94C33"/>
    <w:rsid w:val="F8BBDB45"/>
    <w:rsid w:val="FD8BAA30"/>
    <w:rsid w:val="FF7EDCE3"/>
    <w:rsid w:val="FFB573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sz w:val="21"/>
      <w:szCs w:val="22"/>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Body Text"/>
    <w:basedOn w:val="1"/>
    <w:unhideWhenUsed/>
    <w:qFormat/>
    <w:uiPriority w:val="0"/>
    <w:pPr>
      <w:spacing w:after="120"/>
    </w:pPr>
  </w:style>
  <w:style w:type="paragraph" w:styleId="3">
    <w:name w:val="Normal (Web)"/>
    <w:basedOn w:val="1"/>
    <w:qFormat/>
    <w:uiPriority w:val="0"/>
    <w:pPr>
      <w:spacing w:before="100" w:beforeAutospacing="1" w:after="10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1187</Words>
  <Characters>1234</Characters>
  <TotalTime>0</TotalTime>
  <ScaleCrop>false</ScaleCrop>
  <LinksUpToDate>false</LinksUpToDate>
  <CharactersWithSpaces>1249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2026-09-22T07:01:40Z</dcterms:created>
  <dc:creator>建议稿</dc:creator>
  <cp:lastModifiedBy>　　　　　　　　</cp:lastModifiedBy>
  <cp:lastPrinted>2026-09-22T10:00:05Z</cp:lastPrinted>
  <dcterms:modified xsi:type="dcterms:W3CDTF">2026-09-21T08:50:23Z</dcterms:modified>
  <dc:title>02-成都市商务局支持农贸市场改造提升政策实施细则（二改稿）.md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2658F9017E7248FDB4F4F2039C99E27B_13</vt:lpwstr>
  </property>
</Properties>
</file>