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D891BE">
      <w:pPr>
        <w:pStyle w:val="2"/>
        <w:spacing w:line="580" w:lineRule="exact"/>
        <w:rPr>
          <w:rFonts w:ascii="Times New Roman" w:hAnsi="Times New Roman" w:eastAsia="方正小标宋_GBK"/>
          <w:kern w:val="2"/>
          <w:sz w:val="44"/>
          <w:szCs w:val="44"/>
          <w:lang w:val="en-US" w:eastAsia="zh-CN" w:bidi="ar-SA"/>
        </w:rPr>
      </w:pPr>
      <w:bookmarkStart w:id="0" w:name="_GoBack"/>
      <w:bookmarkEnd w:id="0"/>
      <w:r>
        <w:rPr>
          <w:rFonts w:eastAsia="方正黑体_GBK"/>
          <w:sz w:val="32"/>
          <w:szCs w:val="24"/>
        </w:rPr>
        <w:t>附件1</w:t>
      </w:r>
    </w:p>
    <w:p w14:paraId="5CDA4FE8">
      <w:pPr>
        <w:pStyle w:val="2"/>
        <w:rPr>
          <w:lang w:val="en-US" w:eastAsia="zh-CN"/>
        </w:rPr>
      </w:pPr>
    </w:p>
    <w:p w14:paraId="3BBF549D">
      <w:pPr>
        <w:spacing w:after="0" w:line="580" w:lineRule="exact"/>
        <w:jc w:val="center"/>
        <w:rPr>
          <w:rFonts w:ascii="Times New Roman" w:hAnsi="Times New Roman" w:eastAsia="方正小标宋_GBK"/>
          <w:kern w:val="2"/>
          <w:sz w:val="44"/>
          <w:szCs w:val="44"/>
          <w:lang w:val="en-US" w:eastAsia="zh-CN" w:bidi="ar-SA"/>
        </w:rPr>
      </w:pPr>
      <w:r>
        <w:rPr>
          <w:rFonts w:ascii="Times New Roman" w:hAnsi="Times New Roman" w:eastAsia="方正小标宋_GBK"/>
          <w:kern w:val="2"/>
          <w:sz w:val="44"/>
          <w:szCs w:val="44"/>
          <w:lang w:val="en-US" w:eastAsia="zh-CN" w:bidi="ar-SA"/>
        </w:rPr>
        <w:t>成都市</w:t>
      </w:r>
      <w:r>
        <w:rPr>
          <w:rFonts w:hint="eastAsia" w:ascii="Times New Roman" w:hAnsi="Times New Roman" w:eastAsia="方正小标宋_GBK"/>
          <w:kern w:val="2"/>
          <w:sz w:val="44"/>
          <w:szCs w:val="44"/>
          <w:lang w:val="en-US" w:eastAsia="zh-CN" w:bidi="ar-SA"/>
        </w:rPr>
        <w:t>商务局</w:t>
      </w:r>
      <w:r>
        <w:rPr>
          <w:rFonts w:ascii="Times New Roman" w:hAnsi="Times New Roman" w:eastAsia="方正小标宋_GBK"/>
          <w:kern w:val="2"/>
          <w:sz w:val="44"/>
          <w:szCs w:val="44"/>
          <w:lang w:val="en-US" w:eastAsia="zh-CN" w:bidi="ar-SA"/>
        </w:rPr>
        <w:t>支持农贸市场改造提升政策</w:t>
      </w:r>
    </w:p>
    <w:p w14:paraId="7E4A9164">
      <w:pPr>
        <w:pStyle w:val="3"/>
        <w:spacing w:line="580" w:lineRule="exact"/>
        <w:jc w:val="center"/>
        <w:rPr>
          <w:rFonts w:eastAsia="方正楷体_GBK"/>
          <w:sz w:val="32"/>
          <w:szCs w:val="32"/>
        </w:rPr>
      </w:pPr>
      <w:r>
        <w:rPr>
          <w:rFonts w:eastAsia="方正楷体_GBK"/>
          <w:sz w:val="32"/>
          <w:szCs w:val="32"/>
        </w:rPr>
        <w:t>（征求意见稿）</w:t>
      </w:r>
    </w:p>
    <w:p w14:paraId="7BE55877">
      <w:pPr>
        <w:spacing w:before="0" w:after="0" w:line="580" w:lineRule="exact"/>
        <w:ind w:firstLine="640" w:firstLineChars="200"/>
        <w:jc w:val="both"/>
        <w:rPr>
          <w:rFonts w:ascii="Times New Roman" w:hAnsi="Times New Roman" w:eastAsia="方正仿宋_GBK"/>
          <w:sz w:val="32"/>
          <w:szCs w:val="32"/>
        </w:rPr>
      </w:pPr>
    </w:p>
    <w:p w14:paraId="3C22A24F">
      <w:pPr>
        <w:spacing w:before="0" w:after="0" w:line="580" w:lineRule="exact"/>
        <w:ind w:firstLine="640" w:firstLineChars="200"/>
        <w:jc w:val="both"/>
      </w:pPr>
      <w:r>
        <w:rPr>
          <w:rFonts w:ascii="Times New Roman" w:hAnsi="Times New Roman" w:eastAsia="方正仿宋_GBK"/>
          <w:sz w:val="32"/>
          <w:szCs w:val="32"/>
        </w:rPr>
        <w:t>为贯彻落实国家、省、市服务业大会关于促进生活性服务业高品质多样化便利化发展的要求，进一步提升我市农贸市场建设管理服务水平，打造安全放心、整洁有序、业态丰富、智慧便捷的农贸市场，对农贸市场改造提升给予财政奖励支持。</w:t>
      </w:r>
    </w:p>
    <w:p w14:paraId="7B109E44">
      <w:pPr>
        <w:spacing w:before="0" w:after="0" w:line="580" w:lineRule="exact"/>
        <w:ind w:firstLine="640" w:firstLineChars="200"/>
        <w:jc w:val="both"/>
      </w:pPr>
      <w:r>
        <w:rPr>
          <w:rFonts w:ascii="Times New Roman" w:hAnsi="Times New Roman" w:eastAsia="方正黑体_GBK"/>
          <w:sz w:val="32"/>
          <w:szCs w:val="32"/>
        </w:rPr>
        <w:t>支持对象。</w:t>
      </w:r>
      <w:r>
        <w:rPr>
          <w:rFonts w:ascii="Times New Roman" w:hAnsi="Times New Roman" w:eastAsia="方正仿宋_GBK"/>
          <w:sz w:val="32"/>
          <w:szCs w:val="32"/>
        </w:rPr>
        <w:t>在</w:t>
      </w:r>
      <w:r>
        <w:rPr>
          <w:rFonts w:hint="eastAsia" w:ascii="Times New Roman" w:hAnsi="Times New Roman" w:eastAsia="方正仿宋_GBK"/>
          <w:sz w:val="32"/>
          <w:szCs w:val="32"/>
          <w:lang w:eastAsia="zh-CN"/>
        </w:rPr>
        <w:t>成都市</w:t>
      </w:r>
      <w:r>
        <w:rPr>
          <w:rFonts w:ascii="Times New Roman" w:hAnsi="Times New Roman" w:eastAsia="方正仿宋_GBK"/>
          <w:sz w:val="32"/>
          <w:szCs w:val="32"/>
        </w:rPr>
        <w:t>依法正常经营，组织实施农贸市场改造提升的市场开办方或经营管理单位（含受二者委托统一组织实施的市场运营主体）。</w:t>
      </w:r>
    </w:p>
    <w:p w14:paraId="40B57B90">
      <w:pPr>
        <w:spacing w:before="0" w:after="0" w:line="580" w:lineRule="exact"/>
        <w:ind w:firstLine="640" w:firstLineChars="200"/>
        <w:jc w:val="both"/>
      </w:pPr>
      <w:r>
        <w:rPr>
          <w:rFonts w:ascii="Times New Roman" w:hAnsi="Times New Roman" w:eastAsia="方正黑体_GBK"/>
          <w:sz w:val="32"/>
          <w:szCs w:val="32"/>
        </w:rPr>
        <w:t>支持内容。</w:t>
      </w:r>
      <w:r>
        <w:rPr>
          <w:rFonts w:ascii="Times New Roman" w:hAnsi="Times New Roman" w:eastAsia="方正仿宋_GBK"/>
          <w:sz w:val="32"/>
          <w:szCs w:val="32"/>
        </w:rPr>
        <w:t>一是硬件设施改造提升，包括顶棚地面改造、场内布局优化、摊位设施更新，鼓励有条件的农贸市场设置电动自行车集中停放充电区域；二是安全与公共设施完善，包括电气线路改造、给排水和通风设施、消防防汛卫生以及标识指示等各类公共设施配置；三是经营管理和服务质量改进，包括制度建立、模式创新、经营运行、智慧设备应用、平价菜市及其他便民业态补充等。</w:t>
      </w:r>
    </w:p>
    <w:p w14:paraId="62D54003">
      <w:pPr>
        <w:spacing w:before="0" w:after="0" w:line="580" w:lineRule="exact"/>
        <w:ind w:firstLine="640" w:firstLineChars="200"/>
        <w:jc w:val="both"/>
        <w:rPr>
          <w:rFonts w:ascii="Times New Roman" w:hAnsi="Times New Roman" w:eastAsia="方正仿宋_GBK"/>
          <w:sz w:val="32"/>
          <w:szCs w:val="32"/>
        </w:rPr>
      </w:pPr>
      <w:r>
        <w:rPr>
          <w:rFonts w:ascii="Times New Roman" w:hAnsi="Times New Roman" w:eastAsia="方正黑体_GBK"/>
          <w:sz w:val="32"/>
          <w:szCs w:val="32"/>
        </w:rPr>
        <w:t>支持标准。</w:t>
      </w:r>
      <w:r>
        <w:rPr>
          <w:rFonts w:ascii="Times New Roman" w:hAnsi="Times New Roman" w:eastAsia="方正仿宋_GBK"/>
          <w:sz w:val="32"/>
          <w:szCs w:val="32"/>
        </w:rPr>
        <w:t>根据农贸市场改造提升内容、</w:t>
      </w:r>
      <w:r>
        <w:rPr>
          <w:rFonts w:hint="eastAsia" w:ascii="Times New Roman" w:hAnsi="Times New Roman" w:eastAsia="方正仿宋_GBK"/>
          <w:sz w:val="32"/>
          <w:szCs w:val="32"/>
          <w:lang w:eastAsia="zh-CN"/>
        </w:rPr>
        <w:t>取得</w:t>
      </w:r>
      <w:r>
        <w:rPr>
          <w:rFonts w:ascii="Times New Roman" w:hAnsi="Times New Roman" w:eastAsia="方正仿宋_GBK"/>
          <w:sz w:val="32"/>
          <w:szCs w:val="32"/>
        </w:rPr>
        <w:t>成效进行综合</w:t>
      </w:r>
      <w:r>
        <w:rPr>
          <w:rFonts w:hint="eastAsia" w:ascii="Times New Roman" w:hAnsi="Times New Roman" w:eastAsia="方正仿宋_GBK"/>
          <w:sz w:val="32"/>
          <w:szCs w:val="32"/>
          <w:lang w:eastAsia="zh-CN"/>
        </w:rPr>
        <w:t>评比</w:t>
      </w:r>
      <w:r>
        <w:rPr>
          <w:rFonts w:ascii="Times New Roman" w:hAnsi="Times New Roman" w:eastAsia="方正仿宋_GBK"/>
          <w:sz w:val="32"/>
          <w:szCs w:val="32"/>
        </w:rPr>
        <w:t>，</w:t>
      </w:r>
      <w:r>
        <w:rPr>
          <w:rFonts w:hint="eastAsia" w:ascii="Times New Roman" w:hAnsi="Times New Roman" w:eastAsia="方正仿宋_GBK"/>
          <w:sz w:val="32"/>
          <w:szCs w:val="32"/>
          <w:lang w:eastAsia="zh-CN"/>
        </w:rPr>
        <w:t>在资金预算范围内分别</w:t>
      </w:r>
      <w:r>
        <w:rPr>
          <w:rFonts w:ascii="Times New Roman" w:hAnsi="Times New Roman" w:eastAsia="方正仿宋_GBK"/>
          <w:sz w:val="32"/>
          <w:szCs w:val="32"/>
        </w:rPr>
        <w:t>给予项目50万元、30万元、20万元定额奖励。</w:t>
      </w:r>
    </w:p>
    <w:p w14:paraId="7BE4449E">
      <w:pPr>
        <w:spacing w:before="0" w:after="0" w:line="580" w:lineRule="exact"/>
        <w:ind w:firstLine="640" w:firstLineChars="200"/>
        <w:jc w:val="both"/>
        <w:rPr>
          <w:rFonts w:hint="eastAsia" w:ascii="Times New Roman" w:hAnsi="Times New Roman" w:eastAsia="方正仿宋_GBK"/>
          <w:sz w:val="32"/>
          <w:szCs w:val="32"/>
          <w:lang w:eastAsia="zh-CN"/>
        </w:rPr>
      </w:pPr>
      <w:r>
        <w:rPr>
          <w:rFonts w:ascii="Times New Roman" w:hAnsi="Times New Roman" w:eastAsia="方正仿宋_GBK"/>
          <w:sz w:val="32"/>
          <w:szCs w:val="32"/>
        </w:rPr>
        <w:t>本政策由成都市商务局解释，</w:t>
      </w:r>
      <w:r>
        <w:rPr>
          <w:rFonts w:hint="eastAsia" w:ascii="Times New Roman" w:hAnsi="Times New Roman" w:eastAsia="方正仿宋_GBK"/>
          <w:sz w:val="32"/>
          <w:szCs w:val="32"/>
          <w:lang w:eastAsia="zh-CN"/>
        </w:rPr>
        <w:t>政策自发布之日起生效，有效期四年。</w:t>
      </w:r>
      <w:r>
        <w:rPr>
          <w:rFonts w:ascii="Times New Roman" w:hAnsi="Times New Roman" w:eastAsia="方正仿宋_GBK"/>
          <w:sz w:val="32"/>
          <w:szCs w:val="32"/>
        </w:rPr>
        <w:t>支持项目须在202</w:t>
      </w:r>
      <w:r>
        <w:rPr>
          <w:rFonts w:hint="eastAsia" w:ascii="Times New Roman" w:hAnsi="Times New Roman" w:eastAsia="方正仿宋_GBK"/>
          <w:sz w:val="32"/>
          <w:szCs w:val="32"/>
        </w:rPr>
        <w:t>6</w:t>
      </w:r>
      <w:r>
        <w:rPr>
          <w:rFonts w:ascii="Times New Roman" w:hAnsi="Times New Roman" w:eastAsia="方正仿宋_GBK"/>
          <w:sz w:val="32"/>
          <w:szCs w:val="32"/>
        </w:rPr>
        <w:t>年1月1日至202</w:t>
      </w:r>
      <w:r>
        <w:rPr>
          <w:rFonts w:hint="eastAsia" w:ascii="Times New Roman" w:hAnsi="Times New Roman" w:eastAsia="方正仿宋_GBK"/>
          <w:sz w:val="32"/>
          <w:szCs w:val="32"/>
          <w:lang w:val="en-US" w:eastAsia="zh-CN"/>
        </w:rPr>
        <w:t>8</w:t>
      </w:r>
      <w:r>
        <w:rPr>
          <w:rFonts w:ascii="Times New Roman" w:hAnsi="Times New Roman" w:eastAsia="方正仿宋_GBK"/>
          <w:sz w:val="32"/>
          <w:szCs w:val="32"/>
        </w:rPr>
        <w:t>年12月31日期间</w:t>
      </w:r>
      <w:r>
        <w:rPr>
          <w:rFonts w:hint="eastAsia" w:ascii="Times New Roman" w:hAnsi="Times New Roman" w:eastAsia="方正仿宋_GBK"/>
          <w:sz w:val="32"/>
          <w:szCs w:val="32"/>
          <w:lang w:eastAsia="zh-CN"/>
        </w:rPr>
        <w:t>实际实施并完成改造提升。</w:t>
      </w:r>
      <w:r>
        <w:rPr>
          <w:rFonts w:ascii="Times New Roman" w:hAnsi="Times New Roman" w:eastAsia="方正仿宋_GBK"/>
          <w:sz w:val="32"/>
          <w:szCs w:val="32"/>
          <w:highlight w:val="none"/>
        </w:rPr>
        <w:t>成都市商务局按照相关程序</w:t>
      </w:r>
      <w:r>
        <w:rPr>
          <w:rFonts w:hint="eastAsia" w:ascii="Times New Roman" w:hAnsi="Times New Roman" w:eastAsia="方正仿宋_GBK"/>
          <w:sz w:val="32"/>
          <w:szCs w:val="32"/>
          <w:highlight w:val="none"/>
          <w:lang w:eastAsia="zh-CN"/>
        </w:rPr>
        <w:t>按年度</w:t>
      </w:r>
      <w:r>
        <w:rPr>
          <w:rFonts w:ascii="Times New Roman" w:hAnsi="Times New Roman" w:eastAsia="方正仿宋_GBK"/>
          <w:sz w:val="32"/>
          <w:szCs w:val="32"/>
          <w:highlight w:val="none"/>
        </w:rPr>
        <w:t>组织申报及政策兑付工作。</w:t>
      </w:r>
      <w:r>
        <w:rPr>
          <w:rFonts w:hint="eastAsia" w:ascii="Times New Roman" w:hAnsi="Times New Roman" w:eastAsia="方正仿宋_GBK"/>
          <w:sz w:val="32"/>
          <w:szCs w:val="32"/>
          <w:lang w:eastAsia="zh-CN"/>
        </w:rPr>
        <w:t>具体</w:t>
      </w:r>
      <w:r>
        <w:rPr>
          <w:rFonts w:ascii="Times New Roman" w:hAnsi="Times New Roman" w:eastAsia="方正仿宋_GBK"/>
          <w:sz w:val="32"/>
          <w:szCs w:val="32"/>
        </w:rPr>
        <w:t>支持项目数量，由市商务局根据年度预算和申报情况</w:t>
      </w:r>
      <w:r>
        <w:rPr>
          <w:rFonts w:hint="eastAsia" w:ascii="Times New Roman" w:hAnsi="Times New Roman" w:eastAsia="方正仿宋_GBK"/>
          <w:sz w:val="32"/>
          <w:szCs w:val="32"/>
          <w:lang w:eastAsia="zh-CN"/>
        </w:rPr>
        <w:t>确定。</w:t>
      </w:r>
    </w:p>
    <w:p w14:paraId="2B3199F8">
      <w:pPr>
        <w:spacing w:before="0" w:after="0" w:line="580" w:lineRule="exact"/>
        <w:ind w:firstLine="640" w:firstLineChars="200"/>
        <w:jc w:val="both"/>
        <w:rPr>
          <w:rFonts w:hint="eastAsia" w:ascii="Times New Roman" w:hAnsi="Times New Roman" w:eastAsia="方正仿宋_GBK"/>
          <w:sz w:val="32"/>
          <w:szCs w:val="32"/>
          <w:lang w:eastAsia="zh-CN"/>
        </w:rPr>
        <w:sectPr>
          <w:pgSz w:w="11906" w:h="16838"/>
          <w:pgMar w:top="2098" w:right="1474" w:bottom="1984" w:left="1587" w:header="1361" w:footer="1587" w:gutter="0"/>
          <w:cols w:space="720" w:num="1"/>
          <w:docGrid w:linePitch="312" w:charSpace="0"/>
        </w:sectPr>
      </w:pPr>
      <w:r>
        <w:rPr>
          <w:rFonts w:ascii="Times New Roman" w:hAnsi="Times New Roman" w:eastAsia="方正仿宋_GBK"/>
          <w:sz w:val="32"/>
          <w:szCs w:val="32"/>
        </w:rPr>
        <w:t>同一市场主体同一项目不得重复申报中央、省级、市级专项资金同类政策条款，由市场主体择优选择申报，不重复支持</w:t>
      </w:r>
      <w:r>
        <w:rPr>
          <w:rFonts w:hint="eastAsia" w:ascii="Times New Roman" w:hAnsi="Times New Roman" w:eastAsia="方正仿宋_GBK"/>
          <w:sz w:val="32"/>
          <w:szCs w:val="32"/>
          <w:lang w:eastAsia="zh-CN"/>
        </w:rPr>
        <w:t>。</w:t>
      </w:r>
    </w:p>
    <w:p w14:paraId="6C5269A2">
      <w:pPr>
        <w:spacing w:before="0" w:after="0" w:line="580" w:lineRule="exact"/>
        <w:jc w:val="both"/>
        <w:outlineLvl w:val="9"/>
      </w:pPr>
    </w:p>
    <w:sectPr>
      <w:pgSz w:w="11906" w:h="16838"/>
      <w:pgMar w:top="1985" w:right="1531" w:bottom="1871" w:left="1531" w:header="851" w:footer="1417" w:gutter="0"/>
      <w:cols w:space="720" w:num="1"/>
      <w:docGrid w:type="lines" w:linePitch="5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bordersDoNotSurroundHeader w:val="1"/>
  <w:bordersDoNotSurroundFooter w:val="1"/>
  <w:documentProtection w:enforcement="0"/>
  <w:defaultTabStop w:val="500"/>
  <w:hyphenationZone w:val="360"/>
  <w:displayHorizontalDrawingGridEvery w:val="1"/>
  <w:displayVerticalDrawingGridEvery w:val="1"/>
  <w:characterSpacingControl w:val="doNotCompres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EFC729"/>
    <w:rsid w:val="3DBD03AD"/>
    <w:rsid w:val="3ECD5250"/>
    <w:rsid w:val="5AFF6E99"/>
    <w:rsid w:val="5CD7F46B"/>
    <w:rsid w:val="5D9AEA7C"/>
    <w:rsid w:val="63F71C78"/>
    <w:rsid w:val="6BA8760F"/>
    <w:rsid w:val="6FBF2EF0"/>
    <w:rsid w:val="6FDDDB64"/>
    <w:rsid w:val="73B35584"/>
    <w:rsid w:val="74B7F748"/>
    <w:rsid w:val="76F73984"/>
    <w:rsid w:val="77FF77AD"/>
    <w:rsid w:val="7C6A05B1"/>
    <w:rsid w:val="7CFEAE7A"/>
    <w:rsid w:val="7D7F7CDB"/>
    <w:rsid w:val="7DF76982"/>
    <w:rsid w:val="7EFBF08F"/>
    <w:rsid w:val="9EB64240"/>
    <w:rsid w:val="AFFD6A69"/>
    <w:rsid w:val="BB3DEB70"/>
    <w:rsid w:val="BB67543B"/>
    <w:rsid w:val="D1FD325D"/>
    <w:rsid w:val="D3E5E82B"/>
    <w:rsid w:val="D6F63B98"/>
    <w:rsid w:val="DEEF9DFB"/>
    <w:rsid w:val="DFCF6FC4"/>
    <w:rsid w:val="EF7B9265"/>
    <w:rsid w:val="EFD70FC6"/>
    <w:rsid w:val="F9CFD51D"/>
    <w:rsid w:val="FBFB5EC2"/>
    <w:rsid w:val="FDF5327D"/>
    <w:rsid w:val="FF9C02D7"/>
    <w:rsid w:val="FFAB8EFF"/>
    <w:rsid w:val="FFF7B10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sz w:val="21"/>
      <w:szCs w:val="22"/>
    </w:rPr>
  </w:style>
  <w:style w:type="character" w:default="1" w:styleId="5">
    <w:name w:val="Default Paragraph Font"/>
    <w:semiHidden/>
    <w:qFormat/>
    <w:uiPriority w:val="0"/>
  </w:style>
  <w:style w:type="table" w:default="1" w:styleId="4">
    <w:name w:val="Normal Table"/>
    <w:semiHidden/>
    <w:qFormat/>
    <w:uiPriority w:val="0"/>
    <w:tblPr>
      <w:tblStyle w:val="4"/>
      <w:tblCellMar>
        <w:top w:w="0" w:type="dxa"/>
        <w:left w:w="108" w:type="dxa"/>
        <w:bottom w:w="0" w:type="dxa"/>
        <w:right w:w="108" w:type="dxa"/>
      </w:tblCellMar>
    </w:tblPr>
  </w:style>
  <w:style w:type="paragraph" w:styleId="2">
    <w:name w:val="Body Text"/>
    <w:basedOn w:val="1"/>
    <w:unhideWhenUsed/>
    <w:qFormat/>
    <w:uiPriority w:val="0"/>
    <w:pPr>
      <w:spacing w:after="120"/>
    </w:p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597</Words>
  <Characters>608</Characters>
  <TotalTime>0</TotalTime>
  <ScaleCrop>false</ScaleCrop>
  <LinksUpToDate>false</LinksUpToDate>
  <CharactersWithSpaces>608</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2026-09-20T23:01:08Z</dcterms:created>
  <dc:creator>建议稿</dc:creator>
  <cp:lastModifiedBy>　　　　　　　　</cp:lastModifiedBy>
  <dcterms:modified xsi:type="dcterms:W3CDTF">2026-09-21T08:49:48Z</dcterms:modified>
  <dc:title>01-成都市商务局支持农贸市场改造提升政策（二改稿）.md</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69C650F827974578937FB1D57D2B1C62_13</vt:lpwstr>
  </property>
</Properties>
</file>