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FCFA1D">
      <w:pPr>
        <w:spacing w:after="0" w:line="590" w:lineRule="exact"/>
        <w:jc w:val="center"/>
        <w:rPr>
          <w:rFonts w:ascii="Times New Roman" w:hAnsi="Times New Roman" w:eastAsia="方正小标宋简体" w:cs="Times New Roman"/>
          <w:sz w:val="44"/>
          <w:szCs w:val="44"/>
        </w:rPr>
      </w:pPr>
    </w:p>
    <w:p w14:paraId="4613EFB2">
      <w:pPr>
        <w:spacing w:after="0" w:line="590" w:lineRule="exact"/>
        <w:jc w:val="center"/>
        <w:rPr>
          <w:rFonts w:ascii="Times New Roman" w:hAnsi="Times New Roman" w:eastAsia="方正小标宋简体" w:cs="Times New Roman"/>
          <w:sz w:val="44"/>
          <w:szCs w:val="44"/>
        </w:rPr>
      </w:pPr>
    </w:p>
    <w:p w14:paraId="05DF4C3F">
      <w:pPr>
        <w:spacing w:after="0" w:line="59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龙泉驿区先进制造业发展“十五五”规划</w:t>
      </w:r>
    </w:p>
    <w:p w14:paraId="627CB26D">
      <w:pPr>
        <w:spacing w:after="0" w:line="59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公开征求意见</w:t>
      </w:r>
      <w:r>
        <w:rPr>
          <w:rFonts w:ascii="Times New Roman" w:hAnsi="Times New Roman" w:eastAsia="仿宋_GB2312" w:cs="Times New Roman"/>
          <w:sz w:val="32"/>
          <w:szCs w:val="32"/>
        </w:rPr>
        <w:t>稿）</w:t>
      </w:r>
    </w:p>
    <w:p w14:paraId="64D5D982">
      <w:pPr>
        <w:spacing w:after="0" w:line="590" w:lineRule="exact"/>
        <w:jc w:val="center"/>
        <w:rPr>
          <w:rFonts w:ascii="Times New Roman" w:hAnsi="Times New Roman" w:eastAsia="方正小标宋简体" w:cs="Times New Roman"/>
          <w:sz w:val="44"/>
          <w:szCs w:val="44"/>
        </w:rPr>
      </w:pPr>
    </w:p>
    <w:p w14:paraId="7B064F3A">
      <w:pPr>
        <w:spacing w:after="0" w:line="590" w:lineRule="exact"/>
        <w:jc w:val="center"/>
        <w:rPr>
          <w:rFonts w:ascii="Times New Roman" w:hAnsi="Times New Roman" w:eastAsia="方正小标宋简体" w:cs="Times New Roman"/>
          <w:sz w:val="44"/>
          <w:szCs w:val="44"/>
        </w:rPr>
      </w:pPr>
    </w:p>
    <w:p w14:paraId="3C1A5FB4">
      <w:pPr>
        <w:spacing w:after="0" w:line="590" w:lineRule="exact"/>
        <w:jc w:val="center"/>
        <w:rPr>
          <w:rFonts w:ascii="Times New Roman" w:hAnsi="Times New Roman" w:eastAsia="方正小标宋简体" w:cs="Times New Roman"/>
          <w:sz w:val="44"/>
          <w:szCs w:val="44"/>
        </w:rPr>
      </w:pPr>
      <w:bookmarkStart w:id="29" w:name="_GoBack"/>
      <w:bookmarkEnd w:id="29"/>
    </w:p>
    <w:p w14:paraId="5AD64B24">
      <w:pPr>
        <w:spacing w:after="0" w:line="590" w:lineRule="exact"/>
        <w:jc w:val="center"/>
        <w:rPr>
          <w:rFonts w:ascii="Times New Roman" w:hAnsi="Times New Roman" w:eastAsia="方正小标宋简体" w:cs="Times New Roman"/>
          <w:sz w:val="44"/>
          <w:szCs w:val="44"/>
        </w:rPr>
      </w:pPr>
    </w:p>
    <w:p w14:paraId="6A0D7A3E">
      <w:pPr>
        <w:spacing w:after="0" w:line="590" w:lineRule="exact"/>
        <w:jc w:val="center"/>
        <w:rPr>
          <w:rFonts w:ascii="Times New Roman" w:hAnsi="Times New Roman" w:eastAsia="方正小标宋简体" w:cs="Times New Roman"/>
          <w:sz w:val="44"/>
          <w:szCs w:val="44"/>
        </w:rPr>
      </w:pPr>
    </w:p>
    <w:p w14:paraId="22179862">
      <w:pPr>
        <w:spacing w:after="0" w:line="590" w:lineRule="exact"/>
        <w:jc w:val="center"/>
        <w:rPr>
          <w:rFonts w:ascii="Times New Roman" w:hAnsi="Times New Roman" w:eastAsia="方正小标宋简体" w:cs="Times New Roman"/>
          <w:sz w:val="44"/>
          <w:szCs w:val="44"/>
        </w:rPr>
      </w:pPr>
    </w:p>
    <w:p w14:paraId="7E3DA4BD">
      <w:pPr>
        <w:spacing w:after="0" w:line="590" w:lineRule="exact"/>
        <w:jc w:val="center"/>
        <w:rPr>
          <w:rFonts w:ascii="Times New Roman" w:hAnsi="Times New Roman" w:eastAsia="方正小标宋简体" w:cs="Times New Roman"/>
          <w:sz w:val="44"/>
          <w:szCs w:val="44"/>
        </w:rPr>
      </w:pPr>
    </w:p>
    <w:p w14:paraId="1DE5EF42">
      <w:pPr>
        <w:spacing w:after="0" w:line="590" w:lineRule="exact"/>
        <w:jc w:val="center"/>
        <w:rPr>
          <w:rFonts w:ascii="Times New Roman" w:hAnsi="Times New Roman" w:eastAsia="方正小标宋简体" w:cs="Times New Roman"/>
          <w:sz w:val="44"/>
          <w:szCs w:val="44"/>
        </w:rPr>
      </w:pPr>
    </w:p>
    <w:p w14:paraId="19186F8D">
      <w:pPr>
        <w:spacing w:after="0" w:line="590" w:lineRule="exact"/>
        <w:jc w:val="center"/>
        <w:rPr>
          <w:rFonts w:ascii="Times New Roman" w:hAnsi="Times New Roman" w:eastAsia="方正小标宋简体" w:cs="Times New Roman"/>
          <w:sz w:val="44"/>
          <w:szCs w:val="44"/>
        </w:rPr>
      </w:pPr>
    </w:p>
    <w:p w14:paraId="597C2D04">
      <w:pPr>
        <w:spacing w:after="0" w:line="590" w:lineRule="exact"/>
        <w:jc w:val="center"/>
        <w:rPr>
          <w:rFonts w:ascii="Times New Roman" w:hAnsi="Times New Roman" w:eastAsia="方正小标宋简体" w:cs="Times New Roman"/>
          <w:sz w:val="44"/>
          <w:szCs w:val="44"/>
        </w:rPr>
      </w:pPr>
    </w:p>
    <w:p w14:paraId="0BD7E685">
      <w:pPr>
        <w:spacing w:after="0" w:line="590" w:lineRule="exact"/>
        <w:jc w:val="center"/>
        <w:rPr>
          <w:rFonts w:ascii="Times New Roman" w:hAnsi="Times New Roman" w:eastAsia="方正小标宋简体" w:cs="Times New Roman"/>
          <w:sz w:val="44"/>
          <w:szCs w:val="44"/>
        </w:rPr>
      </w:pPr>
    </w:p>
    <w:p w14:paraId="74B33DA7">
      <w:pPr>
        <w:spacing w:after="0" w:line="590" w:lineRule="exact"/>
        <w:jc w:val="center"/>
        <w:rPr>
          <w:rFonts w:ascii="Times New Roman" w:hAnsi="Times New Roman" w:eastAsia="方正小标宋简体" w:cs="Times New Roman"/>
          <w:sz w:val="44"/>
          <w:szCs w:val="44"/>
        </w:rPr>
      </w:pPr>
    </w:p>
    <w:p w14:paraId="1B51187F">
      <w:pPr>
        <w:spacing w:after="0" w:line="590" w:lineRule="exact"/>
        <w:jc w:val="center"/>
        <w:rPr>
          <w:rFonts w:ascii="Times New Roman" w:hAnsi="Times New Roman" w:eastAsia="方正小标宋简体" w:cs="Times New Roman"/>
          <w:sz w:val="44"/>
          <w:szCs w:val="44"/>
        </w:rPr>
      </w:pPr>
    </w:p>
    <w:p w14:paraId="02EAAE83">
      <w:pPr>
        <w:spacing w:after="0" w:line="590" w:lineRule="exact"/>
        <w:jc w:val="center"/>
        <w:rPr>
          <w:rFonts w:ascii="Times New Roman" w:hAnsi="Times New Roman" w:eastAsia="方正小标宋简体" w:cs="Times New Roman"/>
          <w:sz w:val="44"/>
          <w:szCs w:val="44"/>
        </w:rPr>
      </w:pPr>
    </w:p>
    <w:p w14:paraId="2391C0EB">
      <w:pPr>
        <w:spacing w:after="0" w:line="590" w:lineRule="exact"/>
        <w:jc w:val="center"/>
        <w:rPr>
          <w:rFonts w:ascii="Times New Roman" w:hAnsi="Times New Roman" w:eastAsia="方正小标宋简体" w:cs="Times New Roman"/>
          <w:sz w:val="44"/>
          <w:szCs w:val="44"/>
        </w:rPr>
      </w:pPr>
    </w:p>
    <w:p w14:paraId="1125781D">
      <w:pPr>
        <w:spacing w:after="0" w:line="590" w:lineRule="exact"/>
        <w:jc w:val="center"/>
        <w:rPr>
          <w:rFonts w:ascii="Times New Roman" w:hAnsi="Times New Roman" w:eastAsia="黑体" w:cs="Times New Roman"/>
          <w:sz w:val="32"/>
          <w:szCs w:val="32"/>
        </w:rPr>
      </w:pPr>
      <w:r>
        <w:rPr>
          <w:rFonts w:ascii="Times New Roman" w:hAnsi="Times New Roman" w:eastAsia="方正小标宋简体" w:cs="Times New Roman"/>
          <w:sz w:val="44"/>
          <w:szCs w:val="44"/>
        </w:rPr>
        <w:t>‌</w:t>
      </w:r>
      <w:r>
        <w:rPr>
          <w:rFonts w:ascii="Times New Roman" w:hAnsi="Times New Roman" w:eastAsia="黑体" w:cs="Times New Roman"/>
          <w:sz w:val="32"/>
          <w:szCs w:val="32"/>
        </w:rPr>
        <w:t>成都市龙泉驿区经济和信息化局</w:t>
      </w:r>
    </w:p>
    <w:p w14:paraId="1E3B0D96">
      <w:pPr>
        <w:spacing w:after="0" w:line="590" w:lineRule="exact"/>
        <w:jc w:val="center"/>
        <w:rPr>
          <w:rFonts w:ascii="Times New Roman" w:hAnsi="Times New Roman" w:eastAsia="黑体" w:cs="Times New Roman"/>
          <w:sz w:val="32"/>
          <w:szCs w:val="32"/>
        </w:rPr>
      </w:pPr>
      <w:r>
        <w:rPr>
          <w:rFonts w:ascii="Times New Roman" w:hAnsi="Times New Roman" w:eastAsia="黑体" w:cs="Times New Roman"/>
          <w:sz w:val="32"/>
          <w:szCs w:val="32"/>
        </w:rPr>
        <w:t>2026年</w:t>
      </w:r>
      <w:r>
        <w:rPr>
          <w:rFonts w:hint="eastAsia" w:ascii="Times New Roman" w:hAnsi="Times New Roman" w:eastAsia="黑体" w:cs="Times New Roman"/>
          <w:sz w:val="32"/>
          <w:szCs w:val="32"/>
        </w:rPr>
        <w:t>9</w:t>
      </w:r>
      <w:r>
        <w:rPr>
          <w:rFonts w:ascii="Times New Roman" w:hAnsi="Times New Roman" w:eastAsia="黑体" w:cs="Times New Roman"/>
          <w:sz w:val="32"/>
          <w:szCs w:val="32"/>
        </w:rPr>
        <w:t>月</w:t>
      </w:r>
    </w:p>
    <w:p w14:paraId="5A84F1D5">
      <w:pPr>
        <w:spacing w:after="0" w:line="59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br w:type="page"/>
      </w:r>
    </w:p>
    <w:p w14:paraId="69773217">
      <w:pPr>
        <w:pStyle w:val="48"/>
        <w:jc w:val="center"/>
        <w:rPr>
          <w:rFonts w:ascii="Times New Roman" w:hAnsi="Times New Roman" w:cs="Times New Roman"/>
        </w:rPr>
        <w:sectPr>
          <w:footerReference r:id="rId5" w:type="default"/>
          <w:pgSz w:w="11906" w:h="16838"/>
          <w:pgMar w:top="1440" w:right="1800" w:bottom="1440" w:left="1800" w:header="851" w:footer="992" w:gutter="0"/>
          <w:cols w:space="425" w:num="1"/>
          <w:docGrid w:type="lines" w:linePitch="312" w:charSpace="0"/>
        </w:sectPr>
      </w:pPr>
    </w:p>
    <w:p w14:paraId="1CC99DFC">
      <w:pPr>
        <w:spacing w:after="0" w:line="59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根据国家、省、市有关规划和《成都市龙泉驿区国民经济和社会发展第十五个五年规划纲要》，为更好推进全区先进制造业高质量发展，特编制本规划</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规划期限2026-2030年。</w:t>
      </w:r>
    </w:p>
    <w:p w14:paraId="112A335B">
      <w:pPr>
        <w:spacing w:after="0" w:line="590" w:lineRule="exact"/>
        <w:ind w:firstLine="640" w:firstLineChars="200"/>
        <w:jc w:val="both"/>
        <w:outlineLvl w:val="0"/>
        <w:rPr>
          <w:rFonts w:ascii="Times New Roman" w:hAnsi="Times New Roman" w:eastAsia="黑体" w:cs="Times New Roman"/>
          <w:sz w:val="32"/>
          <w:szCs w:val="32"/>
        </w:rPr>
      </w:pPr>
      <w:bookmarkStart w:id="0" w:name="_Toc236926290"/>
      <w:r>
        <w:rPr>
          <w:rFonts w:hint="eastAsia" w:ascii="Times New Roman" w:hAnsi="Times New Roman" w:eastAsia="黑体" w:cs="Times New Roman"/>
          <w:sz w:val="32"/>
          <w:szCs w:val="32"/>
        </w:rPr>
        <w:t>一</w:t>
      </w:r>
      <w:r>
        <w:rPr>
          <w:rFonts w:ascii="Times New Roman" w:hAnsi="Times New Roman" w:eastAsia="黑体" w:cs="Times New Roman"/>
          <w:sz w:val="32"/>
          <w:szCs w:val="32"/>
        </w:rPr>
        <w:t>、</w:t>
      </w:r>
      <w:bookmarkEnd w:id="0"/>
      <w:r>
        <w:rPr>
          <w:rFonts w:hint="eastAsia" w:ascii="Times New Roman" w:hAnsi="Times New Roman" w:eastAsia="黑体" w:cs="Times New Roman"/>
          <w:sz w:val="32"/>
          <w:szCs w:val="32"/>
        </w:rPr>
        <w:t>发展思路与目标</w:t>
      </w:r>
    </w:p>
    <w:p w14:paraId="0EAC5B00">
      <w:pPr>
        <w:spacing w:after="0" w:line="59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以习近平新时代中国特色社会主义思想为指导，深入贯彻落实国家、省、市关于加快构建以先进制造业为骨干的现代化产业体系的决策部署，坚决扛起全市经济大区、产业大区、人口大区的使命担当，坚持“创新引领、制造强区”工作思路，围绕基本建成先进制造业高地目标，以推动制造业高质量发展为首要任务，以智能化、绿色化、融合化为发展导向，以科技创新和产业创新深度融合为核心动力，以产业结构持续优化为关键路径，以产业建圈强链和特色集群培育为组织方式，以深入实施“立园满园”行动为关键抓手，持续提升智能网联新能源汽车产业竞争力，加快形成航天装备、先进能源、新型材料千亿级产业集群，梯次培育低空经济、绿色氢能、先进核能、具身智能等未来产业，助力全区经济实现质的有效提升和量的合理增长，推动制造强区建设行稳致远，确保与全国、全省、全市同步基本实现新型工业化取得决定性进展。</w:t>
      </w:r>
    </w:p>
    <w:p w14:paraId="34ED881C">
      <w:pPr>
        <w:spacing w:after="0" w:line="59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到2030年，实力强劲的制造龙泉驿建设迈上新台阶，产业结构持续优化，智能网联新能源汽车产业竞争力持续提升，战略性新兴产业形成若干省级以上特色产业集群，基本建成先进制造业高地。</w:t>
      </w:r>
    </w:p>
    <w:p w14:paraId="0262EBB2">
      <w:pPr>
        <w:spacing w:after="0" w:line="590" w:lineRule="exact"/>
        <w:ind w:firstLine="640" w:firstLineChars="200"/>
        <w:jc w:val="both"/>
        <w:outlineLvl w:val="0"/>
        <w:rPr>
          <w:rFonts w:ascii="Times New Roman" w:hAnsi="Times New Roman" w:eastAsia="黑体" w:cs="Times New Roman"/>
          <w:sz w:val="32"/>
          <w:szCs w:val="32"/>
        </w:rPr>
      </w:pPr>
      <w:bookmarkStart w:id="1" w:name="_Toc236926294"/>
      <w:r>
        <w:rPr>
          <w:rFonts w:hint="eastAsia" w:ascii="Times New Roman" w:hAnsi="Times New Roman" w:eastAsia="黑体" w:cs="Times New Roman"/>
          <w:sz w:val="32"/>
          <w:szCs w:val="32"/>
        </w:rPr>
        <w:t>二</w:t>
      </w:r>
      <w:r>
        <w:rPr>
          <w:rFonts w:ascii="Times New Roman" w:hAnsi="Times New Roman" w:eastAsia="黑体" w:cs="Times New Roman"/>
          <w:sz w:val="32"/>
          <w:szCs w:val="32"/>
        </w:rPr>
        <w:t>、构建多元先进制造业体系</w:t>
      </w:r>
      <w:bookmarkEnd w:id="1"/>
    </w:p>
    <w:p w14:paraId="27F8B8C6">
      <w:pPr>
        <w:spacing w:after="0" w:line="590" w:lineRule="exact"/>
        <w:ind w:firstLine="640" w:firstLineChars="200"/>
        <w:jc w:val="both"/>
        <w:outlineLvl w:val="1"/>
        <w:rPr>
          <w:rFonts w:ascii="Times New Roman" w:hAnsi="Times New Roman" w:eastAsia="楷体_GB2312" w:cs="Times New Roman"/>
          <w:sz w:val="32"/>
          <w:szCs w:val="32"/>
        </w:rPr>
      </w:pPr>
      <w:bookmarkStart w:id="2" w:name="_Toc236926295"/>
      <w:r>
        <w:rPr>
          <w:rFonts w:ascii="Times New Roman" w:hAnsi="Times New Roman" w:eastAsia="楷体_GB2312" w:cs="Times New Roman"/>
          <w:sz w:val="32"/>
          <w:szCs w:val="32"/>
        </w:rPr>
        <w:t>（一）巩固提升汽车主导产业</w:t>
      </w:r>
      <w:bookmarkEnd w:id="2"/>
    </w:p>
    <w:p w14:paraId="0FBB2270">
      <w:pPr>
        <w:spacing w:after="0" w:line="590" w:lineRule="exact"/>
        <w:ind w:firstLine="643" w:firstLineChars="200"/>
        <w:jc w:val="both"/>
        <w:outlineLvl w:val="2"/>
        <w:rPr>
          <w:rFonts w:ascii="Times New Roman" w:hAnsi="Times New Roman" w:eastAsia="仿宋_GB2312" w:cs="Times New Roman"/>
          <w:sz w:val="32"/>
          <w:szCs w:val="32"/>
        </w:rPr>
      </w:pPr>
      <w:r>
        <w:rPr>
          <w:rFonts w:ascii="Times New Roman" w:hAnsi="Times New Roman" w:eastAsia="仿宋_GB2312" w:cs="Times New Roman"/>
          <w:b/>
          <w:bCs/>
          <w:sz w:val="32"/>
          <w:szCs w:val="32"/>
        </w:rPr>
        <w:t>1．聚力攻坚智能网联汽车</w:t>
      </w:r>
      <w:r>
        <w:rPr>
          <w:rFonts w:hint="eastAsia" w:ascii="Times New Roman" w:hAnsi="Times New Roman" w:eastAsia="仿宋_GB2312" w:cs="Times New Roman"/>
          <w:b/>
          <w:bCs/>
          <w:sz w:val="32"/>
          <w:szCs w:val="32"/>
        </w:rPr>
        <w:t>。</w:t>
      </w:r>
      <w:r>
        <w:rPr>
          <w:rFonts w:ascii="Times New Roman" w:hAnsi="Times New Roman" w:eastAsia="仿宋_GB2312" w:cs="Times New Roman"/>
          <w:sz w:val="32"/>
          <w:szCs w:val="32"/>
        </w:rPr>
        <w:t>重点发展智能网联整车、自动驾驶系统、车载智能终端等车端领域，加快发展智能化路测基础设施装备、交通信号装备等路端领域，积极发展云控基础平台、云控应用平台、智能网联汽车安全监测平台等云端领域，深度融入成都“车路云一体化”应用试点</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加快导入高级别智能网联车型</w:t>
      </w:r>
      <w:r>
        <w:rPr>
          <w:rFonts w:hint="eastAsia" w:ascii="Times New Roman" w:hAnsi="Times New Roman" w:eastAsia="仿宋_GB2312" w:cs="Times New Roman"/>
          <w:sz w:val="32"/>
          <w:szCs w:val="32"/>
        </w:rPr>
        <w:t>，补齐</w:t>
      </w:r>
      <w:r>
        <w:rPr>
          <w:rFonts w:ascii="Times New Roman" w:hAnsi="Times New Roman" w:eastAsia="仿宋_GB2312" w:cs="Times New Roman"/>
          <w:sz w:val="32"/>
          <w:szCs w:val="32"/>
        </w:rPr>
        <w:t>线控制动、电子液压制动系统等智驾核心</w:t>
      </w:r>
      <w:r>
        <w:rPr>
          <w:rFonts w:hint="eastAsia" w:ascii="Times New Roman" w:hAnsi="Times New Roman" w:eastAsia="仿宋_GB2312" w:cs="Times New Roman"/>
          <w:sz w:val="32"/>
          <w:szCs w:val="32"/>
        </w:rPr>
        <w:t>短板，</w:t>
      </w:r>
      <w:r>
        <w:rPr>
          <w:rFonts w:ascii="Times New Roman" w:hAnsi="Times New Roman" w:eastAsia="仿宋_GB2312" w:cs="Times New Roman"/>
          <w:sz w:val="32"/>
          <w:szCs w:val="32"/>
        </w:rPr>
        <w:t>打造中国西部智能网联高地。</w:t>
      </w:r>
    </w:p>
    <w:p w14:paraId="38D95128">
      <w:pPr>
        <w:spacing w:after="0" w:line="590" w:lineRule="exact"/>
        <w:ind w:firstLine="643" w:firstLineChars="200"/>
        <w:jc w:val="both"/>
        <w:outlineLvl w:val="2"/>
        <w:rPr>
          <w:rFonts w:ascii="Times New Roman" w:hAnsi="Times New Roman" w:eastAsia="仿宋_GB2312" w:cs="Times New Roman"/>
          <w:sz w:val="32"/>
          <w:szCs w:val="32"/>
        </w:rPr>
      </w:pPr>
      <w:r>
        <w:rPr>
          <w:rFonts w:ascii="Times New Roman" w:hAnsi="Times New Roman" w:eastAsia="仿宋_GB2312" w:cs="Times New Roman"/>
          <w:b/>
          <w:bCs/>
          <w:sz w:val="32"/>
          <w:szCs w:val="32"/>
        </w:rPr>
        <w:t>2．加快提升新能源汽车</w:t>
      </w:r>
      <w:r>
        <w:rPr>
          <w:rFonts w:hint="eastAsia" w:ascii="Times New Roman" w:hAnsi="Times New Roman" w:eastAsia="仿宋_GB2312" w:cs="Times New Roman"/>
          <w:b/>
          <w:bCs/>
          <w:sz w:val="32"/>
          <w:szCs w:val="32"/>
        </w:rPr>
        <w:t>。</w:t>
      </w:r>
      <w:r>
        <w:rPr>
          <w:rFonts w:hint="eastAsia" w:ascii="Times New Roman" w:hAnsi="Times New Roman" w:eastAsia="仿宋_GB2312" w:cs="Times New Roman"/>
          <w:sz w:val="32"/>
          <w:szCs w:val="32"/>
        </w:rPr>
        <w:t>大力发展纯电汽车，经济布局原生混动汽车，</w:t>
      </w:r>
      <w:r>
        <w:rPr>
          <w:rFonts w:ascii="Times New Roman" w:hAnsi="Times New Roman" w:eastAsia="仿宋_GB2312" w:cs="Times New Roman"/>
          <w:sz w:val="32"/>
          <w:szCs w:val="32"/>
        </w:rPr>
        <w:t>前瞻布局氢燃料电池车</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持续巩固区域新能源明星车型市场地位，突破电动汽车整车设计、动力总成、整车匹配等关键共性技术，补强电池、电机、电控等“三电”环节，加快导入固态电池、原生混动车型，形成多品类新能源车矩阵</w:t>
      </w:r>
      <w:r>
        <w:rPr>
          <w:rFonts w:hint="eastAsia" w:ascii="Times New Roman" w:hAnsi="Times New Roman" w:eastAsia="仿宋_GB2312" w:cs="Times New Roman"/>
          <w:sz w:val="32"/>
          <w:szCs w:val="32"/>
        </w:rPr>
        <w:t>。</w:t>
      </w:r>
    </w:p>
    <w:p w14:paraId="411D6BEA">
      <w:pPr>
        <w:spacing w:after="0" w:line="590" w:lineRule="exact"/>
        <w:ind w:firstLine="643" w:firstLineChars="200"/>
        <w:jc w:val="both"/>
        <w:outlineLvl w:val="2"/>
        <w:rPr>
          <w:rFonts w:ascii="Times New Roman" w:hAnsi="Times New Roman" w:eastAsia="仿宋_GB2312" w:cs="Times New Roman"/>
          <w:sz w:val="32"/>
          <w:szCs w:val="32"/>
        </w:rPr>
      </w:pPr>
      <w:r>
        <w:rPr>
          <w:rFonts w:ascii="Times New Roman" w:hAnsi="Times New Roman" w:eastAsia="仿宋_GB2312" w:cs="Times New Roman"/>
          <w:b/>
          <w:bCs/>
          <w:sz w:val="32"/>
          <w:szCs w:val="32"/>
        </w:rPr>
        <w:t>3．巩固发展高端燃油汽车</w:t>
      </w:r>
      <w:r>
        <w:rPr>
          <w:rFonts w:hint="eastAsia" w:ascii="Times New Roman" w:hAnsi="Times New Roman" w:eastAsia="仿宋_GB2312" w:cs="Times New Roman"/>
          <w:b/>
          <w:bCs/>
          <w:sz w:val="32"/>
          <w:szCs w:val="32"/>
        </w:rPr>
        <w:t>。</w:t>
      </w:r>
      <w:r>
        <w:rPr>
          <w:rFonts w:ascii="Times New Roman" w:hAnsi="Times New Roman" w:eastAsia="仿宋_GB2312" w:cs="Times New Roman"/>
          <w:sz w:val="32"/>
          <w:szCs w:val="32"/>
        </w:rPr>
        <w:t>推动传统燃油车型转型，引导整车企业在燃油车型搭载智能座舱、辅助驾驶等功能，积极布局零排放的合成燃料车型，加快存量生产线技术改造，兼容混动车型。</w:t>
      </w:r>
    </w:p>
    <w:p w14:paraId="454F7CAB">
      <w:pPr>
        <w:spacing w:after="0" w:line="590" w:lineRule="exact"/>
        <w:ind w:firstLine="643" w:firstLineChars="200"/>
        <w:jc w:val="both"/>
        <w:outlineLvl w:val="2"/>
        <w:rPr>
          <w:rFonts w:ascii="Times New Roman" w:hAnsi="Times New Roman" w:eastAsia="仿宋_GB2312" w:cs="Times New Roman"/>
          <w:sz w:val="32"/>
          <w:szCs w:val="32"/>
        </w:rPr>
      </w:pPr>
      <w:r>
        <w:rPr>
          <w:rFonts w:ascii="Times New Roman" w:hAnsi="Times New Roman" w:eastAsia="仿宋_GB2312" w:cs="Times New Roman"/>
          <w:b/>
          <w:bCs/>
          <w:sz w:val="32"/>
          <w:szCs w:val="32"/>
        </w:rPr>
        <w:t>4．着力培育汽车后市场</w:t>
      </w:r>
      <w:r>
        <w:rPr>
          <w:rFonts w:hint="eastAsia" w:ascii="Times New Roman" w:hAnsi="Times New Roman" w:eastAsia="仿宋_GB2312" w:cs="Times New Roman"/>
          <w:b/>
          <w:bCs/>
          <w:sz w:val="32"/>
          <w:szCs w:val="32"/>
        </w:rPr>
        <w:t>。</w:t>
      </w:r>
      <w:r>
        <w:rPr>
          <w:rFonts w:ascii="Times New Roman" w:hAnsi="Times New Roman" w:eastAsia="仿宋_GB2312" w:cs="Times New Roman"/>
          <w:sz w:val="32"/>
          <w:szCs w:val="32"/>
        </w:rPr>
        <w:t>重点培育汽车改装、经典车再制造、改装用汽车零部件、汽车用品制造等领域，</w:t>
      </w:r>
      <w:r>
        <w:rPr>
          <w:rFonts w:hint="eastAsia" w:ascii="Times New Roman" w:hAnsi="Times New Roman" w:eastAsia="仿宋_GB2312" w:cs="Times New Roman"/>
          <w:sz w:val="32"/>
          <w:szCs w:val="32"/>
        </w:rPr>
        <w:t>规划打造汽车赛道、汽车改装、汽车服务等场景，培育</w:t>
      </w:r>
      <w:r>
        <w:rPr>
          <w:rFonts w:ascii="Times New Roman" w:hAnsi="Times New Roman" w:eastAsia="仿宋_GB2312" w:cs="Times New Roman"/>
          <w:sz w:val="32"/>
          <w:szCs w:val="32"/>
        </w:rPr>
        <w:t>汽车产业新增长点。</w:t>
      </w:r>
    </w:p>
    <w:p w14:paraId="156E843D">
      <w:pPr>
        <w:spacing w:after="0" w:line="590" w:lineRule="exact"/>
        <w:ind w:firstLine="640" w:firstLineChars="200"/>
        <w:jc w:val="both"/>
        <w:outlineLvl w:val="1"/>
        <w:rPr>
          <w:rFonts w:ascii="Times New Roman" w:hAnsi="Times New Roman" w:eastAsia="楷体_GB2312" w:cs="Times New Roman"/>
          <w:sz w:val="32"/>
          <w:szCs w:val="32"/>
        </w:rPr>
      </w:pPr>
      <w:bookmarkStart w:id="3" w:name="_Toc236926296"/>
      <w:r>
        <w:rPr>
          <w:rFonts w:ascii="Times New Roman" w:hAnsi="Times New Roman" w:eastAsia="楷体_GB2312" w:cs="Times New Roman"/>
          <w:sz w:val="32"/>
          <w:szCs w:val="32"/>
        </w:rPr>
        <w:t>（二）培育壮大千亿级新兴支柱产业</w:t>
      </w:r>
      <w:bookmarkEnd w:id="3"/>
    </w:p>
    <w:p w14:paraId="1AB8D58A">
      <w:pPr>
        <w:spacing w:after="0" w:line="590" w:lineRule="exact"/>
        <w:ind w:firstLine="643" w:firstLineChars="200"/>
        <w:jc w:val="both"/>
        <w:outlineLvl w:val="2"/>
        <w:rPr>
          <w:rFonts w:ascii="Times New Roman" w:hAnsi="Times New Roman" w:eastAsia="仿宋_GB2312" w:cs="Times New Roman"/>
          <w:sz w:val="32"/>
          <w:szCs w:val="32"/>
        </w:rPr>
      </w:pPr>
      <w:r>
        <w:rPr>
          <w:rFonts w:ascii="Times New Roman" w:hAnsi="Times New Roman" w:eastAsia="仿宋_GB2312" w:cs="Times New Roman"/>
          <w:b/>
          <w:bCs/>
          <w:sz w:val="32"/>
          <w:szCs w:val="32"/>
        </w:rPr>
        <w:t>1．壮大发展航天装备</w:t>
      </w:r>
      <w:r>
        <w:rPr>
          <w:rFonts w:hint="eastAsia" w:ascii="Times New Roman" w:hAnsi="Times New Roman" w:eastAsia="仿宋_GB2312" w:cs="Times New Roman"/>
          <w:b/>
          <w:bCs/>
          <w:sz w:val="32"/>
          <w:szCs w:val="32"/>
        </w:rPr>
        <w:t>。</w:t>
      </w:r>
      <w:bookmarkStart w:id="4" w:name="OLE_LINK1"/>
      <w:r>
        <w:rPr>
          <w:rFonts w:ascii="Times New Roman" w:hAnsi="Times New Roman" w:eastAsia="仿宋_GB2312" w:cs="Times New Roman"/>
          <w:sz w:val="32"/>
          <w:szCs w:val="32"/>
        </w:rPr>
        <w:t>重点发展运载火箭智造、关键元器件、检验检测等领域，突破可重复使用火箭、微型涡喷/涡轴发动机、高集成度飞控计算机等关键技术，打造“研发-制造-检测-服务”一体化的航天装备全产业链生态。</w:t>
      </w:r>
    </w:p>
    <w:bookmarkEnd w:id="4"/>
    <w:p w14:paraId="48C24D0C">
      <w:pPr>
        <w:spacing w:after="0" w:line="590" w:lineRule="exact"/>
        <w:ind w:firstLine="643" w:firstLineChars="200"/>
        <w:jc w:val="both"/>
        <w:outlineLvl w:val="2"/>
        <w:rPr>
          <w:rFonts w:ascii="Times New Roman" w:hAnsi="Times New Roman" w:eastAsia="仿宋_GB2312" w:cs="Times New Roman"/>
          <w:sz w:val="32"/>
          <w:szCs w:val="32"/>
        </w:rPr>
      </w:pPr>
      <w:r>
        <w:rPr>
          <w:rFonts w:ascii="Times New Roman" w:hAnsi="Times New Roman" w:eastAsia="仿宋_GB2312" w:cs="Times New Roman"/>
          <w:b/>
          <w:bCs/>
          <w:sz w:val="32"/>
          <w:szCs w:val="32"/>
        </w:rPr>
        <w:t>2．加快发展先进能源</w:t>
      </w:r>
      <w:r>
        <w:rPr>
          <w:rFonts w:hint="eastAsia" w:ascii="Times New Roman" w:hAnsi="Times New Roman" w:eastAsia="仿宋_GB2312" w:cs="Times New Roman"/>
          <w:b/>
          <w:bCs/>
          <w:sz w:val="32"/>
          <w:szCs w:val="32"/>
        </w:rPr>
        <w:t>。</w:t>
      </w:r>
      <w:r>
        <w:rPr>
          <w:rFonts w:ascii="Times New Roman" w:hAnsi="Times New Roman" w:eastAsia="仿宋_GB2312" w:cs="Times New Roman"/>
          <w:sz w:val="32"/>
          <w:szCs w:val="32"/>
        </w:rPr>
        <w:t>重点发展动力及储能电池、氢能、智能电网、高端能源装备等领域</w:t>
      </w:r>
      <w:r>
        <w:rPr>
          <w:rFonts w:hint="eastAsia" w:ascii="Times New Roman" w:hAnsi="Times New Roman" w:eastAsia="仿宋_GB2312" w:cs="Times New Roman"/>
          <w:sz w:val="32"/>
          <w:szCs w:val="32"/>
        </w:rPr>
        <w:t>，补齐</w:t>
      </w:r>
      <w:r>
        <w:rPr>
          <w:rFonts w:ascii="Times New Roman" w:hAnsi="Times New Roman" w:eastAsia="仿宋_GB2312" w:cs="Times New Roman"/>
          <w:sz w:val="32"/>
          <w:szCs w:val="32"/>
        </w:rPr>
        <w:t>非涉化关键材料、结构件、电池管理系统、热管理系统等配套</w:t>
      </w:r>
      <w:r>
        <w:rPr>
          <w:rFonts w:hint="eastAsia" w:ascii="Times New Roman" w:hAnsi="Times New Roman" w:eastAsia="仿宋_GB2312" w:cs="Times New Roman"/>
          <w:sz w:val="32"/>
          <w:szCs w:val="32"/>
        </w:rPr>
        <w:t>环节，培育</w:t>
      </w:r>
      <w:r>
        <w:rPr>
          <w:rFonts w:ascii="Times New Roman" w:hAnsi="Times New Roman" w:eastAsia="仿宋_GB2312" w:cs="Times New Roman"/>
          <w:sz w:val="32"/>
          <w:szCs w:val="32"/>
        </w:rPr>
        <w:t>智能微电网、虚拟电厂等新业态，加快建设国家级动力及储能电池集群。</w:t>
      </w:r>
    </w:p>
    <w:p w14:paraId="2266B9B8">
      <w:pPr>
        <w:spacing w:after="0" w:line="590" w:lineRule="exact"/>
        <w:ind w:firstLine="643" w:firstLineChars="200"/>
        <w:jc w:val="both"/>
        <w:outlineLvl w:val="2"/>
        <w:rPr>
          <w:rFonts w:ascii="Times New Roman" w:hAnsi="Times New Roman" w:eastAsia="仿宋_GB2312" w:cs="Times New Roman"/>
          <w:sz w:val="32"/>
          <w:szCs w:val="32"/>
        </w:rPr>
      </w:pPr>
      <w:r>
        <w:rPr>
          <w:rFonts w:ascii="Times New Roman" w:hAnsi="Times New Roman" w:eastAsia="仿宋_GB2312" w:cs="Times New Roman"/>
          <w:b/>
          <w:bCs/>
          <w:sz w:val="32"/>
          <w:szCs w:val="32"/>
        </w:rPr>
        <w:t>3．特色发展新型材料</w:t>
      </w:r>
      <w:r>
        <w:rPr>
          <w:rFonts w:hint="eastAsia" w:ascii="Times New Roman" w:hAnsi="Times New Roman" w:eastAsia="仿宋_GB2312" w:cs="Times New Roman"/>
          <w:b/>
          <w:bCs/>
          <w:sz w:val="32"/>
          <w:szCs w:val="32"/>
        </w:rPr>
        <w:t>。</w:t>
      </w:r>
      <w:r>
        <w:rPr>
          <w:rFonts w:ascii="Times New Roman" w:hAnsi="Times New Roman" w:eastAsia="仿宋_GB2312" w:cs="Times New Roman"/>
          <w:sz w:val="32"/>
          <w:szCs w:val="32"/>
        </w:rPr>
        <w:t>重点发展先进光学玻璃、先进金属材料、陶瓷材料、先进复合材料等领域，延伸布局碳基新材料特色赛道，加快研发高温合金、轻质高温结构陶瓷材料、航空用复合材料等急需紧缺产品，建成具有区域特色和核心竞争力的新型材料产业集群。</w:t>
      </w:r>
    </w:p>
    <w:p w14:paraId="59EF8B5A">
      <w:pPr>
        <w:spacing w:after="0" w:line="590" w:lineRule="exact"/>
        <w:ind w:firstLine="640" w:firstLineChars="200"/>
        <w:jc w:val="both"/>
        <w:outlineLvl w:val="1"/>
        <w:rPr>
          <w:rFonts w:ascii="Times New Roman" w:hAnsi="Times New Roman" w:eastAsia="楷体_GB2312" w:cs="Times New Roman"/>
          <w:sz w:val="32"/>
          <w:szCs w:val="32"/>
        </w:rPr>
      </w:pPr>
      <w:bookmarkStart w:id="5" w:name="_Toc236926297"/>
      <w:r>
        <w:rPr>
          <w:rFonts w:ascii="Times New Roman" w:hAnsi="Times New Roman" w:eastAsia="楷体_GB2312" w:cs="Times New Roman"/>
          <w:sz w:val="32"/>
          <w:szCs w:val="32"/>
        </w:rPr>
        <w:t>（三）前瞻布局未来产业</w:t>
      </w:r>
      <w:bookmarkEnd w:id="5"/>
    </w:p>
    <w:p w14:paraId="0BF26EDD">
      <w:pPr>
        <w:spacing w:after="0" w:line="590" w:lineRule="exact"/>
        <w:ind w:firstLine="643" w:firstLineChars="200"/>
        <w:jc w:val="both"/>
        <w:outlineLvl w:val="2"/>
        <w:rPr>
          <w:rFonts w:ascii="Times New Roman" w:hAnsi="Times New Roman" w:eastAsia="仿宋_GB2312" w:cs="Times New Roman"/>
          <w:sz w:val="32"/>
          <w:szCs w:val="32"/>
        </w:rPr>
      </w:pPr>
      <w:r>
        <w:rPr>
          <w:rFonts w:ascii="Times New Roman" w:hAnsi="Times New Roman" w:eastAsia="仿宋_GB2312" w:cs="Times New Roman"/>
          <w:b/>
          <w:bCs/>
          <w:sz w:val="32"/>
          <w:szCs w:val="32"/>
        </w:rPr>
        <w:t>1．低空经济</w:t>
      </w:r>
      <w:r>
        <w:rPr>
          <w:rFonts w:hint="eastAsia" w:ascii="Times New Roman" w:hAnsi="Times New Roman" w:eastAsia="仿宋_GB2312" w:cs="Times New Roman"/>
          <w:b/>
          <w:bCs/>
          <w:sz w:val="32"/>
          <w:szCs w:val="32"/>
        </w:rPr>
        <w:t>。</w:t>
      </w:r>
      <w:r>
        <w:rPr>
          <w:rFonts w:ascii="Times New Roman" w:hAnsi="Times New Roman" w:eastAsia="仿宋_GB2312" w:cs="Times New Roman"/>
          <w:sz w:val="32"/>
          <w:szCs w:val="32"/>
        </w:rPr>
        <w:t>重点发展工业无人机、eVTOL等低空飞行器整机制造，积极布局飞行汽车等新赛道，补齐轻量化复合材料、动力系统、飞控系统、机载系统、无人机反制系统等关键配套短板</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拓展低空物流、低空赛事、低空文旅、低空培训等应用场景，形成“研发—制造—运营”一体化产业生态。</w:t>
      </w:r>
    </w:p>
    <w:p w14:paraId="352A039C">
      <w:pPr>
        <w:spacing w:after="0" w:line="590" w:lineRule="exact"/>
        <w:ind w:firstLine="643" w:firstLineChars="200"/>
        <w:jc w:val="both"/>
        <w:outlineLvl w:val="2"/>
        <w:rPr>
          <w:rFonts w:ascii="Times New Roman" w:hAnsi="Times New Roman" w:cs="Times New Roman"/>
        </w:rPr>
      </w:pPr>
      <w:r>
        <w:rPr>
          <w:rFonts w:ascii="Times New Roman" w:hAnsi="Times New Roman" w:eastAsia="仿宋_GB2312" w:cs="Times New Roman"/>
          <w:b/>
          <w:bCs/>
          <w:sz w:val="32"/>
          <w:szCs w:val="32"/>
        </w:rPr>
        <w:t>2．绿色氢能</w:t>
      </w:r>
      <w:r>
        <w:rPr>
          <w:rFonts w:hint="eastAsia" w:ascii="Times New Roman" w:hAnsi="Times New Roman" w:eastAsia="仿宋_GB2312" w:cs="Times New Roman"/>
          <w:b/>
          <w:bCs/>
          <w:sz w:val="32"/>
          <w:szCs w:val="32"/>
        </w:rPr>
        <w:t>。</w:t>
      </w:r>
      <w:r>
        <w:rPr>
          <w:rFonts w:ascii="Times New Roman" w:hAnsi="Times New Roman" w:eastAsia="仿宋_GB2312" w:cs="Times New Roman"/>
          <w:sz w:val="32"/>
          <w:szCs w:val="32"/>
        </w:rPr>
        <w:t>前瞻布局可再生能源制氢、多元氢能利用等领域</w:t>
      </w:r>
      <w:r>
        <w:rPr>
          <w:rFonts w:hint="eastAsia" w:ascii="Times New Roman" w:hAnsi="Times New Roman" w:eastAsia="仿宋_GB2312" w:cs="Times New Roman"/>
          <w:sz w:val="32"/>
          <w:szCs w:val="32"/>
        </w:rPr>
        <w:t>，推动</w:t>
      </w:r>
      <w:r>
        <w:rPr>
          <w:rFonts w:ascii="Times New Roman" w:hAnsi="Times New Roman" w:eastAsia="仿宋_GB2312" w:cs="Times New Roman"/>
          <w:sz w:val="32"/>
          <w:szCs w:val="32"/>
        </w:rPr>
        <w:t>光电催化制氢、生物质制氢以及高效率长寿命低成本电解水制氢领域开展研发攻关和技术成果转化</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推进氢储能、氢储运、氢燃气轮机等领域研究应用。</w:t>
      </w:r>
    </w:p>
    <w:p w14:paraId="555E342D">
      <w:pPr>
        <w:spacing w:after="0" w:line="590" w:lineRule="exact"/>
        <w:ind w:firstLine="643" w:firstLineChars="200"/>
        <w:jc w:val="both"/>
        <w:outlineLvl w:val="2"/>
        <w:rPr>
          <w:rFonts w:ascii="Times New Roman" w:hAnsi="Times New Roman" w:eastAsia="仿宋_GB2312" w:cs="Times New Roman"/>
          <w:sz w:val="32"/>
          <w:szCs w:val="32"/>
        </w:rPr>
      </w:pPr>
      <w:r>
        <w:rPr>
          <w:rFonts w:ascii="Times New Roman" w:hAnsi="Times New Roman" w:eastAsia="仿宋_GB2312" w:cs="Times New Roman"/>
          <w:b/>
          <w:bCs/>
          <w:sz w:val="32"/>
          <w:szCs w:val="32"/>
        </w:rPr>
        <w:t>3．先进核能</w:t>
      </w:r>
      <w:r>
        <w:rPr>
          <w:rFonts w:hint="eastAsia" w:ascii="Times New Roman" w:hAnsi="Times New Roman" w:eastAsia="仿宋_GB2312" w:cs="Times New Roman"/>
          <w:b/>
          <w:bCs/>
          <w:sz w:val="32"/>
          <w:szCs w:val="32"/>
        </w:rPr>
        <w:t>。</w:t>
      </w:r>
      <w:r>
        <w:rPr>
          <w:rFonts w:ascii="Times New Roman" w:hAnsi="Times New Roman" w:eastAsia="仿宋_GB2312" w:cs="Times New Roman"/>
          <w:sz w:val="32"/>
          <w:szCs w:val="32"/>
        </w:rPr>
        <w:t>重点布局聚变核心部件、核级炭/石墨材料、核电精密配套、核能综合利用等领域，加快开展紧凑型聚变装置工程化验证、核级石墨多堆型适配验证、小型模块化反应堆多联供系统验证，强化聚变装备配套、核电关键材料稳定供应能力，打造具有全国影响力的先进核能关键配套产业高地。</w:t>
      </w:r>
    </w:p>
    <w:p w14:paraId="3C2AEBEF">
      <w:pPr>
        <w:spacing w:after="0" w:line="590" w:lineRule="exact"/>
        <w:ind w:firstLine="643" w:firstLineChars="200"/>
        <w:jc w:val="both"/>
        <w:outlineLvl w:val="2"/>
        <w:rPr>
          <w:rFonts w:ascii="Times New Roman" w:hAnsi="Times New Roman" w:eastAsia="仿宋_GB2312" w:cs="Times New Roman"/>
          <w:sz w:val="32"/>
          <w:szCs w:val="32"/>
        </w:rPr>
      </w:pPr>
      <w:r>
        <w:rPr>
          <w:rFonts w:ascii="Times New Roman" w:hAnsi="Times New Roman" w:eastAsia="仿宋_GB2312" w:cs="Times New Roman"/>
          <w:b/>
          <w:bCs/>
          <w:sz w:val="32"/>
          <w:szCs w:val="32"/>
        </w:rPr>
        <w:t>4．具身智能</w:t>
      </w:r>
      <w:r>
        <w:rPr>
          <w:rFonts w:hint="eastAsia" w:ascii="Times New Roman" w:hAnsi="Times New Roman" w:eastAsia="仿宋_GB2312" w:cs="Times New Roman"/>
          <w:b/>
          <w:bCs/>
          <w:sz w:val="32"/>
          <w:szCs w:val="32"/>
        </w:rPr>
        <w:t>。</w:t>
      </w:r>
      <w:r>
        <w:rPr>
          <w:rFonts w:ascii="Times New Roman" w:hAnsi="Times New Roman" w:eastAsia="仿宋_GB2312" w:cs="Times New Roman"/>
          <w:sz w:val="32"/>
          <w:szCs w:val="32"/>
        </w:rPr>
        <w:t>重点发展结构组件、执行器、传感器、控制器、动力源等基础配套以及机器人整机，有序发展服务机器人、特种机器人以及人形机器人等领域</w:t>
      </w:r>
      <w:r>
        <w:rPr>
          <w:rFonts w:hint="eastAsia" w:ascii="Times New Roman" w:hAnsi="Times New Roman" w:eastAsia="仿宋_GB2312" w:cs="Times New Roman"/>
          <w:sz w:val="32"/>
          <w:szCs w:val="32"/>
        </w:rPr>
        <w:t>，开发</w:t>
      </w:r>
      <w:r>
        <w:rPr>
          <w:rFonts w:ascii="Times New Roman" w:hAnsi="Times New Roman" w:eastAsia="仿宋_GB2312" w:cs="Times New Roman"/>
          <w:sz w:val="32"/>
          <w:szCs w:val="32"/>
        </w:rPr>
        <w:t>面向巡检、文旅、应急、物流、</w:t>
      </w:r>
      <w:r>
        <w:rPr>
          <w:rFonts w:hint="eastAsia" w:ascii="Times New Roman" w:hAnsi="Times New Roman" w:eastAsia="仿宋_GB2312" w:cs="Times New Roman"/>
          <w:sz w:val="32"/>
          <w:szCs w:val="32"/>
        </w:rPr>
        <w:t>医疗、</w:t>
      </w:r>
      <w:r>
        <w:rPr>
          <w:rFonts w:ascii="Times New Roman" w:hAnsi="Times New Roman" w:eastAsia="仿宋_GB2312" w:cs="Times New Roman"/>
          <w:sz w:val="32"/>
          <w:szCs w:val="32"/>
        </w:rPr>
        <w:t>智能制造等场景的机器人产品。</w:t>
      </w:r>
    </w:p>
    <w:p w14:paraId="55AA00D2">
      <w:pPr>
        <w:spacing w:after="0" w:line="590" w:lineRule="exact"/>
        <w:ind w:firstLine="640" w:firstLineChars="200"/>
        <w:jc w:val="both"/>
        <w:outlineLvl w:val="1"/>
        <w:rPr>
          <w:rFonts w:ascii="Times New Roman" w:hAnsi="Times New Roman" w:eastAsia="楷体_GB2312" w:cs="Times New Roman"/>
          <w:sz w:val="32"/>
          <w:szCs w:val="32"/>
        </w:rPr>
      </w:pPr>
      <w:bookmarkStart w:id="6" w:name="_Toc236926298"/>
      <w:r>
        <w:rPr>
          <w:rFonts w:ascii="Times New Roman" w:hAnsi="Times New Roman" w:eastAsia="楷体_GB2312" w:cs="Times New Roman"/>
          <w:sz w:val="32"/>
          <w:szCs w:val="32"/>
        </w:rPr>
        <w:t>（四）转型发展传统产业</w:t>
      </w:r>
      <w:bookmarkEnd w:id="6"/>
    </w:p>
    <w:p w14:paraId="75EE5FB0">
      <w:pPr>
        <w:spacing w:after="0" w:line="59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分业施策推动建材、食品、轻工、机械加工等传统领域优化结构、提质升级。促进建材产业实施节能降碳技术改造，引导食品龙头企业扩大适应需求的新型消费供给</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推动油气装备产业从单一产品生产向“产品+服务”模式转变，提供全生命周期技术服务，加快向核电、氢能、智能农机装备等新兴领域拓展。</w:t>
      </w:r>
    </w:p>
    <w:p w14:paraId="54D9D640">
      <w:pPr>
        <w:spacing w:after="0" w:line="590" w:lineRule="exact"/>
        <w:ind w:firstLine="640" w:firstLineChars="200"/>
        <w:jc w:val="both"/>
        <w:outlineLvl w:val="1"/>
        <w:rPr>
          <w:rFonts w:ascii="Times New Roman" w:hAnsi="Times New Roman" w:eastAsia="楷体_GB2312" w:cs="Times New Roman"/>
          <w:sz w:val="32"/>
          <w:szCs w:val="32"/>
        </w:rPr>
      </w:pPr>
      <w:bookmarkStart w:id="7" w:name="_Toc236926299"/>
      <w:r>
        <w:rPr>
          <w:rFonts w:ascii="Times New Roman" w:hAnsi="Times New Roman" w:eastAsia="楷体_GB2312" w:cs="Times New Roman"/>
          <w:sz w:val="32"/>
          <w:szCs w:val="32"/>
        </w:rPr>
        <w:t>（五）融合发展生产性服务业</w:t>
      </w:r>
      <w:bookmarkEnd w:id="7"/>
    </w:p>
    <w:p w14:paraId="43FD4412">
      <w:pPr>
        <w:spacing w:after="0" w:line="59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重点发展</w:t>
      </w:r>
      <w:r>
        <w:rPr>
          <w:rFonts w:hint="eastAsia" w:ascii="Times New Roman" w:hAnsi="Times New Roman" w:eastAsia="仿宋_GB2312" w:cs="Times New Roman"/>
          <w:sz w:val="32"/>
          <w:szCs w:val="32"/>
        </w:rPr>
        <w:t>商务服务</w:t>
      </w:r>
      <w:r>
        <w:rPr>
          <w:rFonts w:ascii="Times New Roman" w:hAnsi="Times New Roman" w:eastAsia="仿宋_GB2312" w:cs="Times New Roman"/>
          <w:sz w:val="32"/>
          <w:szCs w:val="32"/>
        </w:rPr>
        <w:t>、科技研发、软件和信息服务、工业设计、检验检测等生产性服务业。推动制造业龙头企业向研发设计、检验检测、软件开发、工业互联网等生产性服务领域延伸，加快培育科技创新、知识产权、贸易会展等先进生产性服务业，促进先进制造业与现代服务业深度融合，引领带动制造业向价值链高端攀升</w:t>
      </w:r>
    </w:p>
    <w:p w14:paraId="662932D0">
      <w:pPr>
        <w:spacing w:after="0" w:line="590" w:lineRule="exact"/>
        <w:ind w:firstLine="640" w:firstLineChars="200"/>
        <w:jc w:val="both"/>
        <w:outlineLvl w:val="0"/>
        <w:rPr>
          <w:rFonts w:ascii="Times New Roman" w:hAnsi="Times New Roman" w:eastAsia="黑体" w:cs="Times New Roman"/>
          <w:sz w:val="32"/>
          <w:szCs w:val="32"/>
        </w:rPr>
      </w:pPr>
      <w:bookmarkStart w:id="8" w:name="_Toc236926300"/>
      <w:r>
        <w:rPr>
          <w:rFonts w:hint="eastAsia" w:ascii="Times New Roman" w:hAnsi="Times New Roman" w:eastAsia="黑体" w:cs="Times New Roman"/>
          <w:sz w:val="32"/>
          <w:szCs w:val="32"/>
        </w:rPr>
        <w:t>三</w:t>
      </w:r>
      <w:r>
        <w:rPr>
          <w:rFonts w:ascii="Times New Roman" w:hAnsi="Times New Roman" w:eastAsia="黑体" w:cs="Times New Roman"/>
          <w:sz w:val="32"/>
          <w:szCs w:val="32"/>
        </w:rPr>
        <w:t>、空间布局</w:t>
      </w:r>
      <w:bookmarkEnd w:id="8"/>
    </w:p>
    <w:p w14:paraId="558F5251">
      <w:pPr>
        <w:spacing w:after="0" w:line="59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按照“面向未来、立足实际、集群发展、协同联动”原则，以产业集聚、空间集约、产城融合为核心导向，构建“三园协同、一轴两带”的制造业产业空间新格局。</w:t>
      </w:r>
    </w:p>
    <w:p w14:paraId="564590CB">
      <w:pPr>
        <w:spacing w:after="0" w:line="590" w:lineRule="exact"/>
        <w:ind w:firstLine="640" w:firstLineChars="200"/>
        <w:jc w:val="both"/>
        <w:outlineLvl w:val="1"/>
        <w:rPr>
          <w:rFonts w:ascii="Times New Roman" w:hAnsi="Times New Roman" w:eastAsia="仿宋_GB2312" w:cs="Times New Roman"/>
          <w:sz w:val="32"/>
          <w:szCs w:val="32"/>
        </w:rPr>
      </w:pPr>
      <w:bookmarkStart w:id="9" w:name="_Toc236926301"/>
      <w:r>
        <w:rPr>
          <w:rFonts w:ascii="Times New Roman" w:hAnsi="Times New Roman" w:eastAsia="楷体_GB2312" w:cs="Times New Roman"/>
          <w:sz w:val="32"/>
          <w:szCs w:val="32"/>
        </w:rPr>
        <w:t>（一）做“强”智能网联汽车产业园</w:t>
      </w:r>
      <w:bookmarkEnd w:id="9"/>
      <w:r>
        <w:rPr>
          <w:rFonts w:hint="eastAsia" w:ascii="Times New Roman" w:hAnsi="Times New Roman" w:eastAsia="楷体_GB2312" w:cs="Times New Roman"/>
          <w:sz w:val="32"/>
          <w:szCs w:val="32"/>
        </w:rPr>
        <w:t>。</w:t>
      </w:r>
      <w:r>
        <w:rPr>
          <w:rFonts w:ascii="Times New Roman" w:hAnsi="Times New Roman" w:eastAsia="仿宋_GB2312" w:cs="Times New Roman"/>
          <w:sz w:val="32"/>
          <w:szCs w:val="32"/>
        </w:rPr>
        <w:t>建设涵盖南北两个片区的智能网联汽车产业园，北部片区重点</w:t>
      </w:r>
      <w:r>
        <w:rPr>
          <w:rFonts w:hint="eastAsia" w:ascii="Times New Roman" w:hAnsi="Times New Roman" w:eastAsia="仿宋_GB2312" w:cs="Times New Roman"/>
          <w:sz w:val="32"/>
          <w:szCs w:val="32"/>
        </w:rPr>
        <w:t>布局</w:t>
      </w:r>
      <w:r>
        <w:rPr>
          <w:rFonts w:ascii="Times New Roman" w:hAnsi="Times New Roman" w:eastAsia="仿宋_GB2312" w:cs="Times New Roman"/>
          <w:sz w:val="32"/>
          <w:szCs w:val="32"/>
        </w:rPr>
        <w:t>智能网联汽车整车、车载智能系统等领域，南部片区加快推进燃油车向电动化、网联化转型，持续做大汽车整车及关键核心配件产业，配套发展高端检验检测、工业设计等生产性服务业。</w:t>
      </w:r>
    </w:p>
    <w:p w14:paraId="6F775C9C">
      <w:pPr>
        <w:spacing w:after="0" w:line="590" w:lineRule="exact"/>
        <w:ind w:firstLine="640" w:firstLineChars="200"/>
        <w:jc w:val="both"/>
        <w:outlineLvl w:val="1"/>
        <w:rPr>
          <w:rFonts w:ascii="Times New Roman" w:hAnsi="Times New Roman" w:eastAsia="仿宋_GB2312" w:cs="Times New Roman"/>
          <w:sz w:val="32"/>
          <w:szCs w:val="32"/>
        </w:rPr>
      </w:pPr>
      <w:bookmarkStart w:id="10" w:name="_Toc236926302"/>
      <w:r>
        <w:rPr>
          <w:rFonts w:ascii="Times New Roman" w:hAnsi="Times New Roman" w:eastAsia="楷体_GB2312" w:cs="Times New Roman"/>
          <w:sz w:val="32"/>
          <w:szCs w:val="32"/>
        </w:rPr>
        <w:t>（二）做“新”绿色</w:t>
      </w:r>
      <w:r>
        <w:rPr>
          <w:rFonts w:hint="eastAsia" w:ascii="Times New Roman" w:hAnsi="Times New Roman" w:eastAsia="楷体_GB2312" w:cs="Times New Roman"/>
          <w:sz w:val="32"/>
          <w:szCs w:val="32"/>
        </w:rPr>
        <w:t>能源</w:t>
      </w:r>
      <w:r>
        <w:rPr>
          <w:rFonts w:ascii="Times New Roman" w:hAnsi="Times New Roman" w:eastAsia="楷体_GB2312" w:cs="Times New Roman"/>
          <w:sz w:val="32"/>
          <w:szCs w:val="32"/>
        </w:rPr>
        <w:t>产业园</w:t>
      </w:r>
      <w:bookmarkEnd w:id="10"/>
      <w:r>
        <w:rPr>
          <w:rFonts w:hint="eastAsia" w:ascii="Times New Roman" w:hAnsi="Times New Roman" w:eastAsia="楷体_GB2312" w:cs="Times New Roman"/>
          <w:sz w:val="32"/>
          <w:szCs w:val="32"/>
        </w:rPr>
        <w:t>。</w:t>
      </w:r>
      <w:r>
        <w:rPr>
          <w:rFonts w:ascii="Times New Roman" w:hAnsi="Times New Roman" w:eastAsia="仿宋_GB2312" w:cs="Times New Roman"/>
          <w:sz w:val="32"/>
          <w:szCs w:val="32"/>
        </w:rPr>
        <w:t>建设绿色环保（动力及储能电池）产业园，重点</w:t>
      </w:r>
      <w:r>
        <w:rPr>
          <w:rFonts w:hint="eastAsia" w:ascii="Times New Roman" w:hAnsi="Times New Roman" w:eastAsia="仿宋_GB2312" w:cs="Times New Roman"/>
          <w:sz w:val="32"/>
          <w:szCs w:val="32"/>
        </w:rPr>
        <w:t>布局</w:t>
      </w:r>
      <w:r>
        <w:rPr>
          <w:rFonts w:ascii="Times New Roman" w:hAnsi="Times New Roman" w:eastAsia="仿宋_GB2312" w:cs="Times New Roman"/>
          <w:sz w:val="32"/>
          <w:szCs w:val="32"/>
        </w:rPr>
        <w:t>锂电池、钠离子电池、关键电池材料、电池管理系统等领域</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建设绿色环保（氢能）产业园，加快提升产业承载能力，加速导入优质产业资源，重点</w:t>
      </w:r>
      <w:r>
        <w:rPr>
          <w:rFonts w:hint="eastAsia" w:ascii="Times New Roman" w:hAnsi="Times New Roman" w:eastAsia="仿宋_GB2312" w:cs="Times New Roman"/>
          <w:sz w:val="32"/>
          <w:szCs w:val="32"/>
        </w:rPr>
        <w:t>布局“</w:t>
      </w:r>
      <w:r>
        <w:rPr>
          <w:rFonts w:ascii="Times New Roman" w:hAnsi="Times New Roman" w:eastAsia="仿宋_GB2312" w:cs="Times New Roman"/>
          <w:sz w:val="32"/>
          <w:szCs w:val="32"/>
        </w:rPr>
        <w:t>制-储-运</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氢能装备、氢燃料电池系统及氢能应用装备，配套发展智能电网、智慧物联网及绿色环保服务等产业。</w:t>
      </w:r>
    </w:p>
    <w:p w14:paraId="20E77190">
      <w:pPr>
        <w:spacing w:after="0" w:line="590" w:lineRule="exact"/>
        <w:ind w:firstLine="640" w:firstLineChars="200"/>
        <w:jc w:val="both"/>
        <w:outlineLvl w:val="1"/>
        <w:rPr>
          <w:rFonts w:ascii="Times New Roman" w:hAnsi="Times New Roman" w:eastAsia="仿宋_GB2312" w:cs="Times New Roman"/>
          <w:sz w:val="32"/>
          <w:szCs w:val="32"/>
        </w:rPr>
      </w:pPr>
      <w:bookmarkStart w:id="11" w:name="_Toc236926303"/>
      <w:r>
        <w:rPr>
          <w:rFonts w:ascii="Times New Roman" w:hAnsi="Times New Roman" w:eastAsia="楷体_GB2312" w:cs="Times New Roman"/>
          <w:sz w:val="32"/>
          <w:szCs w:val="32"/>
        </w:rPr>
        <w:t>（三）做“专”航天装备产业园</w:t>
      </w:r>
      <w:bookmarkEnd w:id="11"/>
      <w:r>
        <w:rPr>
          <w:rFonts w:hint="eastAsia" w:ascii="Times New Roman" w:hAnsi="Times New Roman" w:eastAsia="楷体_GB2312" w:cs="Times New Roman"/>
          <w:sz w:val="32"/>
          <w:szCs w:val="32"/>
        </w:rPr>
        <w:t>。</w:t>
      </w:r>
      <w:r>
        <w:rPr>
          <w:rFonts w:ascii="Times New Roman" w:hAnsi="Times New Roman" w:eastAsia="仿宋_GB2312" w:cs="Times New Roman"/>
          <w:sz w:val="32"/>
          <w:szCs w:val="32"/>
        </w:rPr>
        <w:t>重点</w:t>
      </w:r>
      <w:r>
        <w:rPr>
          <w:rFonts w:hint="eastAsia" w:ascii="Times New Roman" w:hAnsi="Times New Roman" w:eastAsia="仿宋_GB2312" w:cs="Times New Roman"/>
          <w:sz w:val="32"/>
          <w:szCs w:val="32"/>
        </w:rPr>
        <w:t>布局</w:t>
      </w:r>
      <w:r>
        <w:rPr>
          <w:rFonts w:ascii="Times New Roman" w:hAnsi="Times New Roman" w:eastAsia="仿宋_GB2312" w:cs="Times New Roman"/>
          <w:sz w:val="32"/>
          <w:szCs w:val="32"/>
        </w:rPr>
        <w:t>航天通信、航天运载装备、航天精密设备、卫星载荷及商业航天等领域</w:t>
      </w:r>
      <w:r>
        <w:rPr>
          <w:rFonts w:hint="eastAsia" w:ascii="Times New Roman" w:hAnsi="Times New Roman" w:eastAsia="仿宋_GB2312" w:cs="Times New Roman"/>
          <w:sz w:val="32"/>
          <w:szCs w:val="32"/>
        </w:rPr>
        <w:t>，延伸布局</w:t>
      </w:r>
      <w:r>
        <w:rPr>
          <w:rFonts w:ascii="Times New Roman" w:hAnsi="Times New Roman" w:eastAsia="仿宋_GB2312" w:cs="Times New Roman"/>
          <w:sz w:val="32"/>
          <w:szCs w:val="32"/>
        </w:rPr>
        <w:t>有色金属材料、特种非金属材料以及新型无机非金属材料等领域。</w:t>
      </w:r>
    </w:p>
    <w:p w14:paraId="51AD0A3C">
      <w:pPr>
        <w:spacing w:after="0" w:line="590" w:lineRule="exact"/>
        <w:ind w:firstLine="640" w:firstLineChars="200"/>
        <w:jc w:val="both"/>
        <w:outlineLvl w:val="1"/>
        <w:rPr>
          <w:rFonts w:ascii="Times New Roman" w:hAnsi="Times New Roman" w:eastAsia="黑体" w:cs="Times New Roman"/>
          <w:sz w:val="24"/>
        </w:rPr>
      </w:pPr>
      <w:bookmarkStart w:id="12" w:name="_Toc236926304"/>
      <w:r>
        <w:rPr>
          <w:rFonts w:ascii="Times New Roman" w:hAnsi="Times New Roman" w:eastAsia="楷体_GB2312" w:cs="Times New Roman"/>
          <w:sz w:val="32"/>
          <w:szCs w:val="32"/>
        </w:rPr>
        <w:t>（四）做“亮”生产性服务业“一轴两带”</w:t>
      </w:r>
      <w:bookmarkEnd w:id="12"/>
      <w:r>
        <w:rPr>
          <w:rFonts w:hint="eastAsia" w:ascii="Times New Roman" w:hAnsi="Times New Roman" w:eastAsia="楷体_GB2312" w:cs="Times New Roman"/>
          <w:sz w:val="32"/>
          <w:szCs w:val="32"/>
        </w:rPr>
        <w:t>。</w:t>
      </w:r>
      <w:r>
        <w:rPr>
          <w:rFonts w:ascii="Times New Roman" w:hAnsi="Times New Roman" w:eastAsia="仿宋_GB2312" w:cs="Times New Roman"/>
          <w:sz w:val="32"/>
          <w:szCs w:val="32"/>
        </w:rPr>
        <w:t>整合区域分散的</w:t>
      </w:r>
      <w:r>
        <w:rPr>
          <w:rFonts w:hint="eastAsia" w:ascii="Times New Roman" w:hAnsi="Times New Roman" w:eastAsia="仿宋_GB2312" w:cs="Times New Roman"/>
          <w:sz w:val="32"/>
          <w:szCs w:val="32"/>
        </w:rPr>
        <w:t>商务</w:t>
      </w:r>
      <w:r>
        <w:rPr>
          <w:rFonts w:ascii="Times New Roman" w:hAnsi="Times New Roman" w:eastAsia="仿宋_GB2312" w:cs="Times New Roman"/>
          <w:sz w:val="32"/>
          <w:szCs w:val="32"/>
        </w:rPr>
        <w:t>楼宇、产业社区等载体空间，打造成都汽车城大道生产性服务业发展轴、驿都大道生产性服务业发展带和成龙大道生产性服务业发展带，重点</w:t>
      </w:r>
      <w:r>
        <w:rPr>
          <w:rFonts w:hint="eastAsia" w:ascii="Times New Roman" w:hAnsi="Times New Roman" w:eastAsia="仿宋_GB2312" w:cs="Times New Roman"/>
          <w:sz w:val="32"/>
          <w:szCs w:val="32"/>
        </w:rPr>
        <w:t>布局商务服务</w:t>
      </w:r>
      <w:r>
        <w:rPr>
          <w:rFonts w:ascii="Times New Roman" w:hAnsi="Times New Roman" w:eastAsia="仿宋_GB2312" w:cs="Times New Roman"/>
          <w:sz w:val="32"/>
          <w:szCs w:val="32"/>
        </w:rPr>
        <w:t>、科技研发、软件和信息服务、工业设计、检验检测等生产性服务业，促进先进制造业与现代服务业深度融合</w:t>
      </w:r>
      <w:r>
        <w:rPr>
          <w:rFonts w:hint="eastAsia" w:ascii="Times New Roman" w:hAnsi="Times New Roman" w:eastAsia="仿宋_GB2312" w:cs="Times New Roman"/>
          <w:sz w:val="32"/>
          <w:szCs w:val="32"/>
        </w:rPr>
        <w:t>。</w:t>
      </w:r>
    </w:p>
    <w:p w14:paraId="766E90C9">
      <w:pPr>
        <w:spacing w:after="0" w:line="590" w:lineRule="exact"/>
        <w:ind w:firstLine="640" w:firstLineChars="200"/>
        <w:jc w:val="both"/>
        <w:outlineLvl w:val="0"/>
        <w:rPr>
          <w:rFonts w:ascii="Times New Roman" w:hAnsi="Times New Roman" w:eastAsia="黑体" w:cs="Times New Roman"/>
          <w:sz w:val="32"/>
          <w:szCs w:val="32"/>
        </w:rPr>
      </w:pPr>
      <w:bookmarkStart w:id="13" w:name="_Toc236926305"/>
      <w:r>
        <w:rPr>
          <w:rFonts w:hint="eastAsia" w:ascii="Times New Roman" w:hAnsi="Times New Roman" w:eastAsia="黑体" w:cs="Times New Roman"/>
          <w:sz w:val="32"/>
          <w:szCs w:val="32"/>
        </w:rPr>
        <w:t>四</w:t>
      </w:r>
      <w:r>
        <w:rPr>
          <w:rFonts w:ascii="Times New Roman" w:hAnsi="Times New Roman" w:eastAsia="黑体" w:cs="Times New Roman"/>
          <w:sz w:val="32"/>
          <w:szCs w:val="32"/>
        </w:rPr>
        <w:t>、重点任务</w:t>
      </w:r>
      <w:bookmarkEnd w:id="13"/>
    </w:p>
    <w:p w14:paraId="0AB56BEE">
      <w:pPr>
        <w:spacing w:after="0" w:line="590" w:lineRule="exact"/>
        <w:ind w:firstLine="640" w:firstLineChars="200"/>
        <w:jc w:val="both"/>
        <w:outlineLvl w:val="1"/>
        <w:rPr>
          <w:rFonts w:ascii="Times New Roman" w:hAnsi="Times New Roman" w:eastAsia="楷体_GB2312" w:cs="Times New Roman"/>
          <w:sz w:val="32"/>
          <w:szCs w:val="32"/>
        </w:rPr>
      </w:pPr>
      <w:bookmarkStart w:id="14" w:name="_Toc236926306"/>
      <w:r>
        <w:rPr>
          <w:rFonts w:ascii="Times New Roman" w:hAnsi="Times New Roman" w:eastAsia="楷体_GB2312" w:cs="Times New Roman"/>
          <w:sz w:val="32"/>
          <w:szCs w:val="32"/>
        </w:rPr>
        <w:t>（一）深入实施产业集群培育工程</w:t>
      </w:r>
      <w:bookmarkEnd w:id="14"/>
    </w:p>
    <w:p w14:paraId="6CFA3524">
      <w:pPr>
        <w:spacing w:after="0" w:line="590" w:lineRule="exact"/>
        <w:ind w:firstLine="643" w:firstLineChars="200"/>
        <w:jc w:val="both"/>
        <w:outlineLvl w:val="2"/>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1．深入推进产业建圈强链</w:t>
      </w:r>
    </w:p>
    <w:p w14:paraId="55D5A24F">
      <w:pPr>
        <w:spacing w:after="0" w:line="59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深化“链长制+专班”工作机制。</w:t>
      </w:r>
      <w:r>
        <w:rPr>
          <w:rFonts w:hint="eastAsia" w:ascii="Times New Roman" w:hAnsi="Times New Roman" w:eastAsia="仿宋_GB2312" w:cs="Times New Roman"/>
          <w:sz w:val="32"/>
          <w:szCs w:val="32"/>
        </w:rPr>
        <w:t>强化</w:t>
      </w:r>
      <w:r>
        <w:rPr>
          <w:rFonts w:ascii="Times New Roman" w:hAnsi="Times New Roman" w:eastAsia="仿宋_GB2312" w:cs="Times New Roman"/>
          <w:sz w:val="32"/>
          <w:szCs w:val="32"/>
        </w:rPr>
        <w:t>产业链整体统筹和顶层设计，</w:t>
      </w:r>
      <w:r>
        <w:rPr>
          <w:rFonts w:hint="eastAsia" w:ascii="Times New Roman" w:hAnsi="Times New Roman" w:eastAsia="仿宋_GB2312" w:cs="Times New Roman"/>
          <w:sz w:val="32"/>
          <w:szCs w:val="32"/>
        </w:rPr>
        <w:t>支持企业</w:t>
      </w:r>
      <w:r>
        <w:rPr>
          <w:rFonts w:ascii="Times New Roman" w:hAnsi="Times New Roman" w:eastAsia="仿宋_GB2312" w:cs="Times New Roman"/>
          <w:sz w:val="32"/>
          <w:szCs w:val="32"/>
        </w:rPr>
        <w:t>产业链整合，建强汽车、航空装备、先进能源、新型材料等重点产业链专班。</w:t>
      </w:r>
      <w:r>
        <w:rPr>
          <w:rFonts w:ascii="Times New Roman" w:hAnsi="Times New Roman" w:eastAsia="仿宋_GB2312" w:cs="Times New Roman"/>
          <w:b/>
          <w:bCs/>
          <w:sz w:val="32"/>
          <w:szCs w:val="32"/>
        </w:rPr>
        <w:t>实施重点领域补链强链建链。</w:t>
      </w:r>
      <w:r>
        <w:rPr>
          <w:rFonts w:ascii="Times New Roman" w:hAnsi="Times New Roman" w:eastAsia="仿宋_GB2312" w:cs="Times New Roman"/>
          <w:sz w:val="32"/>
          <w:szCs w:val="32"/>
        </w:rPr>
        <w:t>优化构建“专业局+公司”招商模式，动态更新</w:t>
      </w:r>
      <w:r>
        <w:rPr>
          <w:rFonts w:hint="eastAsia" w:ascii="Times New Roman" w:hAnsi="Times New Roman" w:eastAsia="仿宋_GB2312" w:cs="Times New Roman"/>
          <w:sz w:val="32"/>
          <w:szCs w:val="32"/>
        </w:rPr>
        <w:t>六个</w:t>
      </w:r>
      <w:r>
        <w:rPr>
          <w:rFonts w:ascii="Times New Roman" w:hAnsi="Times New Roman" w:eastAsia="仿宋_GB2312" w:cs="Times New Roman"/>
          <w:sz w:val="32"/>
          <w:szCs w:val="32"/>
        </w:rPr>
        <w:t>一批企业/项目清单，绘制全景式“产业图谱”。推进汽车（新能源汽车）产业“强链”</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航天装备产业“建链”</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先进能源产业“补链”</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新型材料产业“延链”。</w:t>
      </w:r>
    </w:p>
    <w:p w14:paraId="7FC090D4">
      <w:pPr>
        <w:spacing w:after="0" w:line="590" w:lineRule="exact"/>
        <w:ind w:firstLine="643" w:firstLineChars="200"/>
        <w:jc w:val="both"/>
        <w:outlineLvl w:val="2"/>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2．梯度培育特色产业集群</w:t>
      </w:r>
    </w:p>
    <w:p w14:paraId="198116F2">
      <w:pPr>
        <w:spacing w:after="0" w:line="59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建立集群梯度培育机制。</w:t>
      </w:r>
      <w:r>
        <w:rPr>
          <w:rFonts w:ascii="Times New Roman" w:hAnsi="Times New Roman" w:eastAsia="仿宋_GB2312" w:cs="Times New Roman"/>
          <w:sz w:val="32"/>
          <w:szCs w:val="32"/>
        </w:rPr>
        <w:t>构建“区级—省级—国家级”中小企业特色产业集群梯次培育体系</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形成“储备一批、培育一批、提升一批”的滚动发展格局。推动中小企业产能协作、渠道共享，建立共享制造平台、集中采购平台，加速重点产业成链集群。</w:t>
      </w:r>
      <w:r>
        <w:rPr>
          <w:rFonts w:ascii="Times New Roman" w:hAnsi="Times New Roman" w:eastAsia="仿宋_GB2312" w:cs="Times New Roman"/>
          <w:b/>
          <w:bCs/>
          <w:sz w:val="32"/>
          <w:szCs w:val="32"/>
        </w:rPr>
        <w:t>培育省级中小企业特色产业集群。</w:t>
      </w:r>
      <w:r>
        <w:rPr>
          <w:rFonts w:ascii="Times New Roman" w:hAnsi="Times New Roman" w:eastAsia="仿宋_GB2312" w:cs="Times New Roman"/>
          <w:sz w:val="32"/>
          <w:szCs w:val="32"/>
        </w:rPr>
        <w:t>培育先进能源、新型材料等领域特色集群，争创全国领先的汽车零配件特色产业集群。</w:t>
      </w:r>
      <w:r>
        <w:rPr>
          <w:rFonts w:ascii="Times New Roman" w:hAnsi="Times New Roman" w:eastAsia="仿宋_GB2312" w:cs="Times New Roman"/>
          <w:b/>
          <w:bCs/>
          <w:sz w:val="32"/>
          <w:szCs w:val="32"/>
        </w:rPr>
        <w:t>争创国家级中小企业特色产业集群。</w:t>
      </w:r>
      <w:r>
        <w:rPr>
          <w:rFonts w:hint="eastAsia" w:ascii="Times New Roman" w:hAnsi="Times New Roman" w:eastAsia="仿宋_GB2312" w:cs="Times New Roman"/>
          <w:sz w:val="32"/>
          <w:szCs w:val="32"/>
        </w:rPr>
        <w:t>联合重庆两江新区</w:t>
      </w:r>
      <w:r>
        <w:rPr>
          <w:rFonts w:ascii="Times New Roman" w:hAnsi="Times New Roman" w:eastAsia="仿宋_GB2312" w:cs="Times New Roman"/>
          <w:sz w:val="32"/>
          <w:szCs w:val="32"/>
        </w:rPr>
        <w:t>共建具有国际影响力的成渝地区汽车产业先进制造业集群。推动航天装备纳入国家中小企业特色产业集群培育名单。</w:t>
      </w:r>
    </w:p>
    <w:p w14:paraId="0859F432">
      <w:pPr>
        <w:spacing w:after="0" w:line="590" w:lineRule="exact"/>
        <w:ind w:firstLine="643" w:firstLineChars="200"/>
        <w:jc w:val="both"/>
        <w:outlineLvl w:val="2"/>
        <w:rPr>
          <w:rFonts w:ascii="Times New Roman" w:hAnsi="Times New Roman" w:eastAsia="仿宋_GB2312" w:cs="Times New Roman"/>
          <w:sz w:val="32"/>
          <w:szCs w:val="32"/>
        </w:rPr>
      </w:pPr>
      <w:r>
        <w:rPr>
          <w:rFonts w:ascii="Times New Roman" w:hAnsi="Times New Roman" w:eastAsia="仿宋_GB2312" w:cs="Times New Roman"/>
          <w:b/>
          <w:bCs/>
          <w:sz w:val="32"/>
          <w:szCs w:val="32"/>
        </w:rPr>
        <w:t>3．推进产业跨链融合发展</w:t>
      </w:r>
    </w:p>
    <w:p w14:paraId="7DF9D111">
      <w:pPr>
        <w:spacing w:after="0" w:line="59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推进装备领域与材料领域融合。</w:t>
      </w:r>
      <w:r>
        <w:rPr>
          <w:rFonts w:ascii="Times New Roman" w:hAnsi="Times New Roman" w:eastAsia="仿宋_GB2312" w:cs="Times New Roman"/>
          <w:sz w:val="32"/>
          <w:szCs w:val="32"/>
        </w:rPr>
        <w:t>支持装备制造企业与新材料企业联合攻关，开发高性能铝合金、碳纤维复合材料、特种工程塑料、核聚变材料等新产品，推动“材料—部件—装备”全产业链协同升级。</w:t>
      </w:r>
      <w:r>
        <w:rPr>
          <w:rFonts w:ascii="Times New Roman" w:hAnsi="Times New Roman" w:eastAsia="仿宋_GB2312" w:cs="Times New Roman"/>
          <w:b/>
          <w:bCs/>
          <w:sz w:val="32"/>
          <w:szCs w:val="32"/>
        </w:rPr>
        <w:t>推进新能源汽车与低空、具身智能产业融合。</w:t>
      </w:r>
      <w:r>
        <w:rPr>
          <w:rFonts w:ascii="Times New Roman" w:hAnsi="Times New Roman" w:eastAsia="仿宋_GB2312" w:cs="Times New Roman"/>
          <w:sz w:val="32"/>
          <w:szCs w:val="32"/>
        </w:rPr>
        <w:t>强化高性能伺服电机、精密部件、轻量化电池、芯片算法等共性技术攻关，支持新能源汽车配套企业进入低空装备、具身智能等领域供应链体系</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探索开发“飞行汽车”“无人物流车”“智能配送机器人”等跨界产品，共享动力电池、驱动电机、感知系统等核心零部件供应链。</w:t>
      </w:r>
      <w:r>
        <w:rPr>
          <w:rFonts w:ascii="Times New Roman" w:hAnsi="Times New Roman" w:eastAsia="仿宋_GB2312" w:cs="Times New Roman"/>
          <w:b/>
          <w:bCs/>
          <w:sz w:val="32"/>
          <w:szCs w:val="32"/>
        </w:rPr>
        <w:t>推进先进能源与装备产业融合。</w:t>
      </w:r>
      <w:r>
        <w:rPr>
          <w:rFonts w:ascii="Times New Roman" w:hAnsi="Times New Roman" w:eastAsia="仿宋_GB2312" w:cs="Times New Roman"/>
          <w:sz w:val="32"/>
          <w:szCs w:val="32"/>
        </w:rPr>
        <w:t>支持先进能源企业与装备制造企业</w:t>
      </w:r>
      <w:r>
        <w:rPr>
          <w:rFonts w:hint="eastAsia" w:ascii="Times New Roman" w:hAnsi="Times New Roman" w:eastAsia="仿宋_GB2312" w:cs="Times New Roman"/>
          <w:sz w:val="32"/>
          <w:szCs w:val="32"/>
        </w:rPr>
        <w:t>联合开发</w:t>
      </w:r>
      <w:r>
        <w:rPr>
          <w:rFonts w:ascii="Times New Roman" w:hAnsi="Times New Roman" w:eastAsia="仿宋_GB2312" w:cs="Times New Roman"/>
          <w:sz w:val="32"/>
          <w:szCs w:val="32"/>
        </w:rPr>
        <w:t>氢燃料电池系统、加氢站成套设备、高压储氢容器等氢能装备。拓展“能源+装备”融合发展新空间，培育新的产业增长点。</w:t>
      </w:r>
    </w:p>
    <w:p w14:paraId="73D66E23">
      <w:pPr>
        <w:spacing w:after="0" w:line="590" w:lineRule="exact"/>
        <w:ind w:firstLine="640" w:firstLineChars="200"/>
        <w:jc w:val="both"/>
        <w:outlineLvl w:val="1"/>
        <w:rPr>
          <w:rFonts w:ascii="Times New Roman" w:hAnsi="Times New Roman" w:eastAsia="楷体_GB2312" w:cs="Times New Roman"/>
          <w:sz w:val="32"/>
          <w:szCs w:val="32"/>
        </w:rPr>
      </w:pPr>
      <w:bookmarkStart w:id="15" w:name="_Toc236926307"/>
      <w:r>
        <w:rPr>
          <w:rFonts w:ascii="Times New Roman" w:hAnsi="Times New Roman" w:eastAsia="楷体_GB2312" w:cs="Times New Roman"/>
          <w:sz w:val="32"/>
          <w:szCs w:val="32"/>
        </w:rPr>
        <w:t>（二）深入实施产业创新发展工程</w:t>
      </w:r>
      <w:bookmarkEnd w:id="15"/>
    </w:p>
    <w:p w14:paraId="044C2363">
      <w:pPr>
        <w:spacing w:after="0" w:line="590" w:lineRule="exact"/>
        <w:ind w:firstLine="643" w:firstLineChars="200"/>
        <w:jc w:val="both"/>
        <w:outlineLvl w:val="2"/>
        <w:rPr>
          <w:rFonts w:ascii="Times New Roman" w:hAnsi="Times New Roman" w:eastAsia="仿宋_GB2312" w:cs="Times New Roman"/>
          <w:sz w:val="32"/>
          <w:szCs w:val="32"/>
        </w:rPr>
      </w:pPr>
      <w:r>
        <w:rPr>
          <w:rFonts w:ascii="Times New Roman" w:hAnsi="Times New Roman" w:eastAsia="仿宋_GB2312" w:cs="Times New Roman"/>
          <w:b/>
          <w:bCs/>
          <w:sz w:val="32"/>
          <w:szCs w:val="32"/>
        </w:rPr>
        <w:t>1．强化企业创新主体地位</w:t>
      </w:r>
    </w:p>
    <w:p w14:paraId="77F64B61">
      <w:pPr>
        <w:spacing w:after="0" w:line="59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支持企业健全内部研发体系。</w:t>
      </w:r>
      <w:r>
        <w:rPr>
          <w:rFonts w:ascii="Times New Roman" w:hAnsi="Times New Roman" w:eastAsia="仿宋_GB2312" w:cs="Times New Roman"/>
          <w:sz w:val="32"/>
          <w:szCs w:val="32"/>
        </w:rPr>
        <w:t>构建完善“科技型中小企业-高新技术企业-科技领军企业”梯度培育体系，提升企业研发投入水平。搭建高校院所技术专家科产对接平台，推广“科技副总”机制。</w:t>
      </w:r>
      <w:r>
        <w:rPr>
          <w:rFonts w:ascii="Times New Roman" w:hAnsi="Times New Roman" w:eastAsia="仿宋_GB2312" w:cs="Times New Roman"/>
          <w:b/>
          <w:bCs/>
          <w:sz w:val="32"/>
          <w:szCs w:val="32"/>
        </w:rPr>
        <w:t>推动企业创建高能级创新平台。</w:t>
      </w:r>
      <w:r>
        <w:rPr>
          <w:rFonts w:ascii="Times New Roman" w:hAnsi="Times New Roman" w:eastAsia="仿宋_GB2312" w:cs="Times New Roman"/>
          <w:sz w:val="32"/>
          <w:szCs w:val="32"/>
        </w:rPr>
        <w:t>高效运行国家级企业技术中心，鼓励创建国家级，支持企业链接高校资源，共建产学研联合实验室。</w:t>
      </w:r>
      <w:r>
        <w:rPr>
          <w:rFonts w:ascii="Times New Roman" w:hAnsi="Times New Roman" w:eastAsia="仿宋_GB2312" w:cs="Times New Roman"/>
          <w:b/>
          <w:bCs/>
          <w:sz w:val="32"/>
          <w:szCs w:val="32"/>
        </w:rPr>
        <w:t>支持企业组建创新联合体。</w:t>
      </w:r>
      <w:r>
        <w:rPr>
          <w:rFonts w:ascii="Times New Roman" w:hAnsi="Times New Roman" w:eastAsia="仿宋_GB2312" w:cs="Times New Roman"/>
          <w:sz w:val="32"/>
          <w:szCs w:val="32"/>
        </w:rPr>
        <w:t>支持企业牵头，联合高校院所组建创新联合体，联合攻关一批产业关键技术和共性技术，加快提升产业创新能力。</w:t>
      </w:r>
    </w:p>
    <w:p w14:paraId="3EB6ADD7">
      <w:pPr>
        <w:spacing w:after="0" w:line="590" w:lineRule="exact"/>
        <w:ind w:firstLine="643" w:firstLineChars="200"/>
        <w:jc w:val="both"/>
        <w:outlineLvl w:val="2"/>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2．建强用好高能级创新平台</w:t>
      </w:r>
    </w:p>
    <w:p w14:paraId="0137F6A3">
      <w:pPr>
        <w:spacing w:after="0" w:line="59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推动现有创新平台高效运行。</w:t>
      </w:r>
      <w:r>
        <w:rPr>
          <w:rFonts w:ascii="Times New Roman" w:hAnsi="Times New Roman" w:eastAsia="仿宋_GB2312" w:cs="Times New Roman"/>
          <w:sz w:val="32"/>
          <w:szCs w:val="32"/>
        </w:rPr>
        <w:t>建好中德智能网联汽车四川试验基地，加强真实测试场景和虚拟测试场景供给，加大汽车智能化测试评价平台实验室等开放力度，完善智能底盘试制、环境测试、性能检测、整-零协同调校等功能，促进科技成果概念验证、鉴定评价、中试验证及产品推广。支持</w:t>
      </w:r>
      <w:r>
        <w:rPr>
          <w:rFonts w:hint="eastAsia" w:ascii="Times New Roman" w:hAnsi="Times New Roman" w:eastAsia="仿宋_GB2312" w:cs="Times New Roman"/>
          <w:sz w:val="32"/>
          <w:szCs w:val="32"/>
        </w:rPr>
        <w:t>企业</w:t>
      </w:r>
      <w:r>
        <w:rPr>
          <w:rFonts w:ascii="Times New Roman" w:hAnsi="Times New Roman" w:eastAsia="仿宋_GB2312" w:cs="Times New Roman"/>
          <w:sz w:val="32"/>
          <w:szCs w:val="32"/>
        </w:rPr>
        <w:t>创建省级制造业创新中心。</w:t>
      </w:r>
      <w:r>
        <w:rPr>
          <w:rFonts w:ascii="Times New Roman" w:hAnsi="Times New Roman" w:eastAsia="仿宋_GB2312" w:cs="Times New Roman"/>
          <w:b/>
          <w:bCs/>
          <w:sz w:val="32"/>
          <w:szCs w:val="32"/>
        </w:rPr>
        <w:t>聚焦新兴领域推进平台建设。</w:t>
      </w:r>
      <w:r>
        <w:rPr>
          <w:rFonts w:ascii="Times New Roman" w:hAnsi="Times New Roman" w:eastAsia="仿宋_GB2312" w:cs="Times New Roman"/>
          <w:sz w:val="32"/>
          <w:szCs w:val="32"/>
        </w:rPr>
        <w:t>争取落地一批新型研发机构，创建一批国家级、省级制造业创新中心、产业创新中心、技术创新中心、重点实验室等高能级创新平台。</w:t>
      </w:r>
    </w:p>
    <w:p w14:paraId="5AFD8369">
      <w:pPr>
        <w:spacing w:after="0" w:line="590" w:lineRule="exact"/>
        <w:ind w:firstLine="643" w:firstLineChars="200"/>
        <w:jc w:val="both"/>
        <w:outlineLvl w:val="2"/>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3．推进科技成果高效转化</w:t>
      </w:r>
    </w:p>
    <w:p w14:paraId="4AA735D3">
      <w:pPr>
        <w:spacing w:after="0" w:line="59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建设公共服务平台体系。</w:t>
      </w:r>
      <w:r>
        <w:rPr>
          <w:rFonts w:ascii="Times New Roman" w:hAnsi="Times New Roman" w:eastAsia="仿宋_GB2312" w:cs="Times New Roman"/>
          <w:sz w:val="32"/>
          <w:szCs w:val="32"/>
        </w:rPr>
        <w:t>建强四大环高校院所知识圈，推动“学科+产业”协同创新，构建“众创空间+孵化器+加速器+产业园”全链条创新孵化体系，常态化开展“校企双进·找矿挖宝”等活动，推动中试平台入选工信部重点培育名单。</w:t>
      </w:r>
      <w:r>
        <w:rPr>
          <w:rFonts w:ascii="Times New Roman" w:hAnsi="Times New Roman" w:eastAsia="仿宋_GB2312" w:cs="Times New Roman"/>
          <w:b/>
          <w:bCs/>
          <w:sz w:val="32"/>
          <w:szCs w:val="32"/>
        </w:rPr>
        <w:t>建设应用场景开放体系。</w:t>
      </w:r>
      <w:r>
        <w:rPr>
          <w:rFonts w:ascii="Times New Roman" w:hAnsi="Times New Roman" w:eastAsia="仿宋_GB2312" w:cs="Times New Roman"/>
          <w:sz w:val="32"/>
          <w:szCs w:val="32"/>
        </w:rPr>
        <w:t>持续完善场景培育载体，组建场景体验与技术推广中心，梳理企业“急需紧缺”应用场景，开展场景建设“揭榜挂帅”行动。</w:t>
      </w:r>
      <w:r>
        <w:rPr>
          <w:rFonts w:ascii="Times New Roman" w:hAnsi="Times New Roman" w:eastAsia="仿宋_GB2312" w:cs="Times New Roman"/>
          <w:b/>
          <w:bCs/>
          <w:sz w:val="32"/>
          <w:szCs w:val="32"/>
        </w:rPr>
        <w:t>完善成果转化后服务。</w:t>
      </w:r>
      <w:r>
        <w:rPr>
          <w:rFonts w:ascii="Times New Roman" w:hAnsi="Times New Roman" w:eastAsia="仿宋_GB2312" w:cs="Times New Roman"/>
          <w:sz w:val="32"/>
          <w:szCs w:val="32"/>
        </w:rPr>
        <w:t>提升检测、认证服务能力，构建“一站式”全过程科技成果转化公共服务平台。构建“中试+基金+孵化”协同机制，优化升级“科创天府·智汇蓉城”科技成果对接转化龙泉驿区专场活动。</w:t>
      </w:r>
    </w:p>
    <w:p w14:paraId="0BC8CD6D">
      <w:pPr>
        <w:spacing w:after="0" w:line="590" w:lineRule="exact"/>
        <w:ind w:firstLine="640" w:firstLineChars="200"/>
        <w:jc w:val="both"/>
        <w:outlineLvl w:val="1"/>
        <w:rPr>
          <w:rFonts w:ascii="Times New Roman" w:hAnsi="Times New Roman" w:eastAsia="楷体_GB2312" w:cs="Times New Roman"/>
          <w:sz w:val="32"/>
          <w:szCs w:val="32"/>
        </w:rPr>
      </w:pPr>
      <w:bookmarkStart w:id="16" w:name="_Toc236926308"/>
      <w:r>
        <w:rPr>
          <w:rFonts w:ascii="Times New Roman" w:hAnsi="Times New Roman" w:eastAsia="楷体_GB2312" w:cs="Times New Roman"/>
          <w:sz w:val="32"/>
          <w:szCs w:val="32"/>
        </w:rPr>
        <w:t>（三）深入实施企业梯次培优工程</w:t>
      </w:r>
      <w:bookmarkEnd w:id="16"/>
    </w:p>
    <w:p w14:paraId="317D860C">
      <w:pPr>
        <w:spacing w:after="0" w:line="590" w:lineRule="exact"/>
        <w:ind w:firstLine="643" w:firstLineChars="200"/>
        <w:jc w:val="both"/>
        <w:outlineLvl w:val="2"/>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1．精准培育“镇园之宝”企业</w:t>
      </w:r>
    </w:p>
    <w:p w14:paraId="378C3DB9">
      <w:pPr>
        <w:spacing w:after="0" w:line="59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深入实施领军企业培育行动。</w:t>
      </w:r>
      <w:r>
        <w:rPr>
          <w:rFonts w:ascii="Times New Roman" w:hAnsi="Times New Roman" w:eastAsia="仿宋_GB2312" w:cs="Times New Roman"/>
          <w:sz w:val="32"/>
          <w:szCs w:val="32"/>
        </w:rPr>
        <w:t>建立链主企业培育库，鼓励企业开展并购重组、技术改造和品牌建设，引导关键供应商、优质下游企业等集中落地发展，争创国家新兴产业发展示范基地（企业）。</w:t>
      </w:r>
      <w:r>
        <w:rPr>
          <w:rFonts w:ascii="Times New Roman" w:hAnsi="Times New Roman" w:eastAsia="仿宋_GB2312" w:cs="Times New Roman"/>
          <w:b/>
          <w:bCs/>
          <w:sz w:val="32"/>
          <w:szCs w:val="32"/>
        </w:rPr>
        <w:t>加大链主企业招引力度。</w:t>
      </w:r>
      <w:r>
        <w:rPr>
          <w:rFonts w:ascii="Times New Roman" w:hAnsi="Times New Roman" w:eastAsia="仿宋_GB2312" w:cs="Times New Roman"/>
          <w:sz w:val="32"/>
          <w:szCs w:val="32"/>
        </w:rPr>
        <w:t>聚焦重点产业链“断点”“堵点”</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开展靶向招商、以商招商、场景招商等。建立链主企业“需求直通车”，形成“引进一个、带动一批、辐射一片”的集聚效应。</w:t>
      </w:r>
    </w:p>
    <w:p w14:paraId="1A28A100">
      <w:pPr>
        <w:spacing w:after="0" w:line="590" w:lineRule="exact"/>
        <w:ind w:firstLine="643" w:firstLineChars="200"/>
        <w:jc w:val="both"/>
        <w:outlineLvl w:val="2"/>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2．加快培育专精特新企业</w:t>
      </w:r>
    </w:p>
    <w:p w14:paraId="23B538B8">
      <w:pPr>
        <w:spacing w:after="0" w:line="59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支持创建“小巨人”企业。</w:t>
      </w:r>
      <w:r>
        <w:rPr>
          <w:rFonts w:ascii="Times New Roman" w:hAnsi="Times New Roman" w:eastAsia="仿宋_GB2312" w:cs="Times New Roman"/>
          <w:sz w:val="32"/>
          <w:szCs w:val="32"/>
        </w:rPr>
        <w:t>建立国家级专精特新“小巨人”企业培育库，实施“卡位入链”专项计划，推动本地企业进入链主企业二级、三级供应商体系。</w:t>
      </w:r>
      <w:r>
        <w:rPr>
          <w:rFonts w:ascii="Times New Roman" w:hAnsi="Times New Roman" w:eastAsia="仿宋_GB2312" w:cs="Times New Roman"/>
          <w:b/>
          <w:bCs/>
          <w:sz w:val="32"/>
          <w:szCs w:val="32"/>
        </w:rPr>
        <w:t>壮大省级“专精特新”企业规模。</w:t>
      </w:r>
      <w:r>
        <w:rPr>
          <w:rFonts w:ascii="Times New Roman" w:hAnsi="Times New Roman" w:eastAsia="仿宋_GB2312" w:cs="Times New Roman"/>
          <w:sz w:val="32"/>
          <w:szCs w:val="32"/>
        </w:rPr>
        <w:t>实施专精特新企业“倍增计划”，完善“创新型中小企业—省级专精特新企业—国家级‘小巨人’企业—制造业单项冠军”梯度培育体系，推动“小升规、规改股、股上市”</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开展“专精特新产品巡展”品牌行动，建设“龙泉驿专精特新产品展示交易中心”，为企业提供常年展示、交易撮合、品牌宣传平台。</w:t>
      </w:r>
    </w:p>
    <w:p w14:paraId="7A4DBBC3">
      <w:pPr>
        <w:spacing w:after="0" w:line="590" w:lineRule="exact"/>
        <w:ind w:firstLine="643" w:firstLineChars="200"/>
        <w:jc w:val="both"/>
        <w:outlineLvl w:val="2"/>
        <w:rPr>
          <w:rFonts w:ascii="Times New Roman" w:hAnsi="Times New Roman" w:eastAsia="仿宋_GB2312" w:cs="Times New Roman"/>
          <w:b/>
          <w:bCs/>
          <w:sz w:val="32"/>
          <w:szCs w:val="32"/>
        </w:rPr>
      </w:pPr>
      <w:bookmarkStart w:id="17" w:name="OLE_LINK2"/>
      <w:r>
        <w:rPr>
          <w:rFonts w:ascii="Times New Roman" w:hAnsi="Times New Roman" w:eastAsia="仿宋_GB2312" w:cs="Times New Roman"/>
          <w:b/>
          <w:bCs/>
          <w:sz w:val="32"/>
          <w:szCs w:val="32"/>
        </w:rPr>
        <w:t>3．孵化培育科技型中小企业</w:t>
      </w:r>
    </w:p>
    <w:bookmarkEnd w:id="17"/>
    <w:p w14:paraId="13292EA4">
      <w:pPr>
        <w:spacing w:after="0" w:line="59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打造高标准孵化器。</w:t>
      </w:r>
      <w:r>
        <w:rPr>
          <w:rFonts w:ascii="Times New Roman" w:hAnsi="Times New Roman" w:eastAsia="仿宋_GB2312" w:cs="Times New Roman"/>
          <w:sz w:val="32"/>
          <w:szCs w:val="32"/>
        </w:rPr>
        <w:t>建设一批专业化、特色化科技企业孵化器</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布局“龙泉驿·高校科创众创空间”，提供小试、中试空间及首台</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套</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验证场景。</w:t>
      </w:r>
      <w:r>
        <w:rPr>
          <w:rFonts w:ascii="Times New Roman" w:hAnsi="Times New Roman" w:eastAsia="仿宋_GB2312" w:cs="Times New Roman"/>
          <w:b/>
          <w:bCs/>
          <w:sz w:val="32"/>
          <w:szCs w:val="32"/>
        </w:rPr>
        <w:t>做好科技型企业服务。</w:t>
      </w:r>
      <w:r>
        <w:rPr>
          <w:rFonts w:ascii="Times New Roman" w:hAnsi="Times New Roman" w:eastAsia="仿宋_GB2312" w:cs="Times New Roman"/>
          <w:sz w:val="32"/>
          <w:szCs w:val="32"/>
        </w:rPr>
        <w:t>建立科技型中小企业服务专员制度，推进科创企业“码上办”服务，</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常态化开展“科创天府·智汇蓉城”活动，搭建“行业对接会+产业促进会”双平台，</w:t>
      </w:r>
      <w:r>
        <w:rPr>
          <w:rFonts w:hint="eastAsia" w:ascii="Times New Roman" w:hAnsi="Times New Roman" w:eastAsia="仿宋_GB2312" w:cs="Times New Roman"/>
          <w:sz w:val="32"/>
          <w:szCs w:val="32"/>
        </w:rPr>
        <w:t>促进</w:t>
      </w:r>
      <w:r>
        <w:rPr>
          <w:rFonts w:ascii="Times New Roman" w:hAnsi="Times New Roman" w:eastAsia="仿宋_GB2312" w:cs="Times New Roman"/>
          <w:sz w:val="32"/>
          <w:szCs w:val="32"/>
        </w:rPr>
        <w:t>中小企业行业交流、融资路演、市场拓展等。</w:t>
      </w:r>
    </w:p>
    <w:p w14:paraId="2DEEF45D">
      <w:pPr>
        <w:spacing w:after="0" w:line="590" w:lineRule="exact"/>
        <w:ind w:firstLine="640" w:firstLineChars="200"/>
        <w:jc w:val="both"/>
        <w:outlineLvl w:val="1"/>
        <w:rPr>
          <w:rFonts w:ascii="Times New Roman" w:hAnsi="Times New Roman" w:eastAsia="楷体_GB2312" w:cs="Times New Roman"/>
          <w:sz w:val="32"/>
          <w:szCs w:val="32"/>
        </w:rPr>
      </w:pPr>
      <w:bookmarkStart w:id="18" w:name="_Toc236926309"/>
      <w:r>
        <w:rPr>
          <w:rFonts w:ascii="Times New Roman" w:hAnsi="Times New Roman" w:eastAsia="楷体_GB2312" w:cs="Times New Roman"/>
          <w:sz w:val="32"/>
          <w:szCs w:val="32"/>
        </w:rPr>
        <w:t>（四）深入实施特色园区培育工程</w:t>
      </w:r>
      <w:bookmarkEnd w:id="18"/>
    </w:p>
    <w:p w14:paraId="432162C2">
      <w:pPr>
        <w:spacing w:after="0" w:line="590" w:lineRule="exact"/>
        <w:ind w:firstLine="643" w:firstLineChars="200"/>
        <w:jc w:val="both"/>
        <w:outlineLvl w:val="2"/>
        <w:rPr>
          <w:rFonts w:ascii="Times New Roman" w:hAnsi="Times New Roman" w:eastAsia="仿宋_GB2312" w:cs="Times New Roman"/>
          <w:b/>
          <w:bCs/>
          <w:sz w:val="32"/>
          <w:szCs w:val="32"/>
        </w:rPr>
      </w:pPr>
      <w:bookmarkStart w:id="19" w:name="OLE_LINK3"/>
      <w:r>
        <w:rPr>
          <w:rFonts w:ascii="Times New Roman" w:hAnsi="Times New Roman" w:eastAsia="仿宋_GB2312" w:cs="Times New Roman"/>
          <w:b/>
          <w:bCs/>
          <w:sz w:val="32"/>
          <w:szCs w:val="32"/>
        </w:rPr>
        <w:t>1．规划建设特色“园中园”</w:t>
      </w:r>
    </w:p>
    <w:p w14:paraId="72D6978C">
      <w:pPr>
        <w:spacing w:after="0" w:line="59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推进存量园区企业满园</w:t>
      </w:r>
      <w:r>
        <w:rPr>
          <w:rFonts w:ascii="Times New Roman" w:hAnsi="Times New Roman" w:eastAsia="仿宋_GB2312" w:cs="Times New Roman"/>
          <w:sz w:val="32"/>
          <w:szCs w:val="32"/>
        </w:rPr>
        <w:t>。谋划低效工业片区更新，分类推进低效用地、闲置用地、闲置空间盘活利用。引导产业链上下游核心配套企业向存量园区集聚，填补产业链关键环节空白。支持园区存量优质企业扩产增效、技术升级。</w:t>
      </w:r>
      <w:r>
        <w:rPr>
          <w:rFonts w:ascii="Times New Roman" w:hAnsi="Times New Roman" w:eastAsia="仿宋_GB2312" w:cs="Times New Roman"/>
          <w:b/>
          <w:bCs/>
          <w:sz w:val="32"/>
          <w:szCs w:val="32"/>
        </w:rPr>
        <w:t>打造产业集群“园中园”</w:t>
      </w:r>
      <w:r>
        <w:rPr>
          <w:rFonts w:ascii="Times New Roman" w:hAnsi="Times New Roman" w:eastAsia="仿宋_GB2312" w:cs="Times New Roman"/>
          <w:sz w:val="32"/>
          <w:szCs w:val="32"/>
        </w:rPr>
        <w:t>。支持</w:t>
      </w:r>
      <w:r>
        <w:rPr>
          <w:rFonts w:hint="eastAsia" w:ascii="Times New Roman" w:hAnsi="Times New Roman" w:eastAsia="仿宋_GB2312" w:cs="Times New Roman"/>
          <w:sz w:val="32"/>
          <w:szCs w:val="32"/>
        </w:rPr>
        <w:t>工业</w:t>
      </w:r>
      <w:r>
        <w:rPr>
          <w:rFonts w:ascii="Times New Roman" w:hAnsi="Times New Roman" w:eastAsia="仿宋_GB2312" w:cs="Times New Roman"/>
          <w:sz w:val="32"/>
          <w:szCs w:val="32"/>
        </w:rPr>
        <w:t>企业、专业运营机构共建专业化细分赛道“园中园”，布局概念验证、中试熟化、检验检测等公共服务平台，打造特色鲜明、链条完整、生态完善的发展格局。</w:t>
      </w:r>
    </w:p>
    <w:p w14:paraId="2D80C55B">
      <w:pPr>
        <w:spacing w:after="0" w:line="590" w:lineRule="exact"/>
        <w:ind w:firstLine="643" w:firstLineChars="200"/>
        <w:jc w:val="both"/>
        <w:outlineLvl w:val="2"/>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2．持续提升园区承载能力</w:t>
      </w:r>
    </w:p>
    <w:p w14:paraId="401FF253">
      <w:pPr>
        <w:spacing w:after="0" w:line="59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完善园区基础设施。</w:t>
      </w:r>
      <w:r>
        <w:rPr>
          <w:rFonts w:ascii="Times New Roman" w:hAnsi="Times New Roman" w:eastAsia="仿宋_GB2312" w:cs="Times New Roman"/>
          <w:sz w:val="32"/>
          <w:szCs w:val="32"/>
        </w:rPr>
        <w:t>优化园区能源基础设施布局，完善变电站、天然气调压站、能源站等配套设施，强化虚拟电厂、油气管网、光伏储能、绿电直供等绿色能源保障。完善园区路网体系，强化大件运输车辆路线划定、限速、分类分区停放等管理。统筹推进园区地下管网、污水处理、固废处置等环保基础设施提质升级。</w:t>
      </w:r>
      <w:r>
        <w:rPr>
          <w:rFonts w:ascii="Times New Roman" w:hAnsi="Times New Roman" w:eastAsia="仿宋_GB2312" w:cs="Times New Roman"/>
          <w:b/>
          <w:bCs/>
          <w:sz w:val="32"/>
          <w:szCs w:val="32"/>
        </w:rPr>
        <w:t>完善园区生活配套设施。</w:t>
      </w:r>
      <w:r>
        <w:rPr>
          <w:rFonts w:ascii="Times New Roman" w:hAnsi="Times New Roman" w:eastAsia="仿宋_GB2312" w:cs="Times New Roman"/>
          <w:sz w:val="32"/>
          <w:szCs w:val="32"/>
        </w:rPr>
        <w:t>统筹布局邻里中心、人才公寓、商业配套、教育医疗等公共服务设施，打造15分钟便捷生活圈。</w:t>
      </w:r>
      <w:r>
        <w:rPr>
          <w:rFonts w:ascii="Times New Roman" w:hAnsi="Times New Roman" w:eastAsia="仿宋_GB2312" w:cs="Times New Roman"/>
          <w:b/>
          <w:bCs/>
          <w:sz w:val="32"/>
          <w:szCs w:val="32"/>
        </w:rPr>
        <w:t>强化园区数字设施建设。</w:t>
      </w:r>
      <w:r>
        <w:rPr>
          <w:rFonts w:ascii="Times New Roman" w:hAnsi="Times New Roman" w:eastAsia="仿宋_GB2312" w:cs="Times New Roman"/>
          <w:sz w:val="32"/>
          <w:szCs w:val="32"/>
        </w:rPr>
        <w:t>深化园区5G网络、千兆光纤等通信基础设施全域覆盖，适度超前布局边缘计算、万兆光网等新型基础设施，推进互联网骨干直连点带宽优化升级，强化工业互联网、算力服务等数字底座建设。加快打造星级智慧园区，搭建一体化智慧园区管理平台，</w:t>
      </w:r>
      <w:r>
        <w:rPr>
          <w:rFonts w:hint="eastAsia" w:ascii="Times New Roman" w:hAnsi="Times New Roman" w:eastAsia="仿宋_GB2312" w:cs="Times New Roman"/>
          <w:sz w:val="32"/>
          <w:szCs w:val="32"/>
        </w:rPr>
        <w:t>建好</w:t>
      </w:r>
      <w:r>
        <w:rPr>
          <w:rFonts w:ascii="Times New Roman" w:hAnsi="Times New Roman" w:eastAsia="仿宋_GB2312" w:cs="Times New Roman"/>
          <w:sz w:val="32"/>
          <w:szCs w:val="32"/>
        </w:rPr>
        <w:t>行业级工业互联网平台、标识解析节点，打造智慧园区建设标杆。</w:t>
      </w:r>
    </w:p>
    <w:p w14:paraId="24A031D2">
      <w:pPr>
        <w:spacing w:after="0" w:line="590" w:lineRule="exact"/>
        <w:ind w:firstLine="643" w:firstLineChars="200"/>
        <w:jc w:val="both"/>
        <w:outlineLvl w:val="2"/>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3．提升园区运营服务水平</w:t>
      </w:r>
    </w:p>
    <w:p w14:paraId="30A40CB2">
      <w:pPr>
        <w:spacing w:after="0" w:line="59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深化园区管理体制机制改革</w:t>
      </w:r>
      <w:r>
        <w:rPr>
          <w:rFonts w:ascii="Times New Roman" w:hAnsi="Times New Roman" w:eastAsia="仿宋_GB2312" w:cs="Times New Roman"/>
          <w:sz w:val="32"/>
          <w:szCs w:val="32"/>
        </w:rPr>
        <w:t>。争取园区集成授权改革试点，以及全市园区扩权赋能授权和支持</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争取行政审批、行政检查、产业准入等管理权限下沉园区。推行“清单式”精准赋能，建立动态调整的授权事项清单，健全权限承接运行机制</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打造权责清晰、运行高效的园区管理改革样板。</w:t>
      </w:r>
      <w:r>
        <w:rPr>
          <w:rFonts w:ascii="Times New Roman" w:hAnsi="Times New Roman" w:eastAsia="仿宋_GB2312" w:cs="Times New Roman"/>
          <w:b/>
          <w:bCs/>
          <w:sz w:val="32"/>
          <w:szCs w:val="32"/>
        </w:rPr>
        <w:t>做强园区服务机构。</w:t>
      </w:r>
      <w:r>
        <w:rPr>
          <w:rFonts w:ascii="Times New Roman" w:hAnsi="Times New Roman" w:eastAsia="仿宋_GB2312" w:cs="Times New Roman"/>
          <w:sz w:val="32"/>
          <w:szCs w:val="32"/>
        </w:rPr>
        <w:t>优化园区服务机构职能，提升成都经开区政务服务中心质效，深化“招引即介入”前置服务，健全项目全生命周期智慧管理平台，构建“招建服”无缝衔接机制，打造一站式、全流程服务阵地。</w:t>
      </w:r>
      <w:r>
        <w:rPr>
          <w:rFonts w:ascii="Times New Roman" w:hAnsi="Times New Roman" w:eastAsia="仿宋_GB2312" w:cs="Times New Roman"/>
          <w:b/>
          <w:bCs/>
          <w:sz w:val="32"/>
          <w:szCs w:val="32"/>
        </w:rPr>
        <w:t>深入推进政务服务增值化改革。</w:t>
      </w:r>
      <w:r>
        <w:rPr>
          <w:rFonts w:ascii="Times New Roman" w:hAnsi="Times New Roman" w:eastAsia="仿宋_GB2312" w:cs="Times New Roman"/>
          <w:sz w:val="32"/>
          <w:szCs w:val="32"/>
        </w:rPr>
        <w:t>深化金融、人才、科技、数字等增值化服务“高效办成一件事”集成办理，推动企业高频服务事项就近办、便捷办。创新园区市场化运营模式，推动园区运营服务市场化、专业化、精细化升级。</w:t>
      </w:r>
    </w:p>
    <w:bookmarkEnd w:id="19"/>
    <w:p w14:paraId="2087E67A">
      <w:pPr>
        <w:spacing w:after="0" w:line="590" w:lineRule="exact"/>
        <w:ind w:firstLine="640" w:firstLineChars="200"/>
        <w:jc w:val="both"/>
        <w:outlineLvl w:val="1"/>
        <w:rPr>
          <w:rFonts w:ascii="Times New Roman" w:hAnsi="Times New Roman" w:eastAsia="楷体_GB2312" w:cs="Times New Roman"/>
          <w:sz w:val="32"/>
          <w:szCs w:val="32"/>
        </w:rPr>
      </w:pPr>
      <w:bookmarkStart w:id="20" w:name="_Toc236926310"/>
      <w:r>
        <w:rPr>
          <w:rFonts w:ascii="Times New Roman" w:hAnsi="Times New Roman" w:eastAsia="楷体_GB2312" w:cs="Times New Roman"/>
          <w:sz w:val="32"/>
          <w:szCs w:val="32"/>
        </w:rPr>
        <w:t>（五）深入实施人工智能赋能工程</w:t>
      </w:r>
      <w:bookmarkEnd w:id="20"/>
    </w:p>
    <w:p w14:paraId="18A199AF">
      <w:pPr>
        <w:spacing w:after="0" w:line="590" w:lineRule="exact"/>
        <w:ind w:firstLine="643" w:firstLineChars="200"/>
        <w:jc w:val="both"/>
        <w:outlineLvl w:val="2"/>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1．推进智能化改造数字化转型</w:t>
      </w:r>
    </w:p>
    <w:p w14:paraId="0A918D5E">
      <w:pPr>
        <w:spacing w:after="0" w:line="59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打造智改数转标杆。</w:t>
      </w:r>
      <w:r>
        <w:rPr>
          <w:rFonts w:ascii="Times New Roman" w:hAnsi="Times New Roman" w:eastAsia="仿宋_GB2312" w:cs="Times New Roman"/>
          <w:sz w:val="32"/>
          <w:szCs w:val="32"/>
        </w:rPr>
        <w:t>实施智改数转标杆企业梯度培育，健全分层分类标杆企业培育库，推动标杆经验向产业链上下游企业复制推广，形成一批可落地、可复制、可推广的行业智改数转经验。</w:t>
      </w:r>
      <w:r>
        <w:rPr>
          <w:rFonts w:ascii="Times New Roman" w:hAnsi="Times New Roman" w:eastAsia="仿宋_GB2312" w:cs="Times New Roman"/>
          <w:b/>
          <w:bCs/>
          <w:sz w:val="32"/>
          <w:szCs w:val="32"/>
        </w:rPr>
        <w:t>推进全流程数字化转型。</w:t>
      </w:r>
      <w:r>
        <w:rPr>
          <w:rFonts w:ascii="Times New Roman" w:hAnsi="Times New Roman" w:eastAsia="仿宋_GB2312" w:cs="Times New Roman"/>
          <w:sz w:val="32"/>
          <w:szCs w:val="32"/>
        </w:rPr>
        <w:t>实施规上工业企业智改数转诊断全覆盖行动，推出轻量化、低成本、快部署的数字化转型工具包</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引导企业应用工业互联网平台开展全流程数字化改造。</w:t>
      </w:r>
      <w:r>
        <w:rPr>
          <w:rFonts w:ascii="Times New Roman" w:hAnsi="Times New Roman" w:eastAsia="仿宋_GB2312" w:cs="Times New Roman"/>
          <w:b/>
          <w:bCs/>
          <w:sz w:val="32"/>
          <w:szCs w:val="32"/>
        </w:rPr>
        <w:t>推动转型服务平台提质升级。</w:t>
      </w:r>
      <w:r>
        <w:rPr>
          <w:rFonts w:ascii="Times New Roman" w:hAnsi="Times New Roman" w:eastAsia="仿宋_GB2312" w:cs="Times New Roman"/>
          <w:sz w:val="32"/>
          <w:szCs w:val="32"/>
        </w:rPr>
        <w:t>建设数字赋能中心，打造企业转型赋能“孵化器+产业加速器”，搭建创新研发、供需对接、人才培训等公共服务平台，加快赋能两化融合贯标达标。</w:t>
      </w:r>
    </w:p>
    <w:p w14:paraId="0CE90ADF">
      <w:pPr>
        <w:spacing w:after="0" w:line="590" w:lineRule="exact"/>
        <w:ind w:firstLine="643" w:firstLineChars="200"/>
        <w:jc w:val="both"/>
        <w:outlineLvl w:val="2"/>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2．开展“人工智能+制造”行动</w:t>
      </w:r>
    </w:p>
    <w:p w14:paraId="6352B792">
      <w:pPr>
        <w:spacing w:after="0" w:line="59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强化企业应用人工智能技术。</w:t>
      </w:r>
      <w:r>
        <w:rPr>
          <w:rFonts w:ascii="Times New Roman" w:hAnsi="Times New Roman" w:eastAsia="仿宋_GB2312" w:cs="Times New Roman"/>
          <w:sz w:val="32"/>
          <w:szCs w:val="32"/>
        </w:rPr>
        <w:t>推动人工智能全流程</w:t>
      </w:r>
      <w:r>
        <w:rPr>
          <w:rFonts w:hint="eastAsia" w:ascii="Times New Roman" w:hAnsi="Times New Roman" w:eastAsia="仿宋_GB2312" w:cs="Times New Roman"/>
          <w:sz w:val="32"/>
          <w:szCs w:val="32"/>
        </w:rPr>
        <w:t>应用</w:t>
      </w:r>
      <w:r>
        <w:rPr>
          <w:rFonts w:ascii="Times New Roman" w:hAnsi="Times New Roman" w:eastAsia="仿宋_GB2312" w:cs="Times New Roman"/>
          <w:sz w:val="32"/>
          <w:szCs w:val="32"/>
        </w:rPr>
        <w:t>，建立“需求、场景、解决方案”清单联动机制，发布“人工智能+制造”典型应用场景目录，推动人工智能技术实现规模化、深度化应用。</w:t>
      </w:r>
      <w:r>
        <w:rPr>
          <w:rFonts w:ascii="Times New Roman" w:hAnsi="Times New Roman" w:eastAsia="仿宋_GB2312" w:cs="Times New Roman"/>
          <w:b/>
          <w:bCs/>
          <w:sz w:val="32"/>
          <w:szCs w:val="32"/>
        </w:rPr>
        <w:t>强化人工智能解决方案供给。</w:t>
      </w:r>
      <w:r>
        <w:rPr>
          <w:rFonts w:ascii="Times New Roman" w:hAnsi="Times New Roman" w:eastAsia="仿宋_GB2312" w:cs="Times New Roman"/>
          <w:sz w:val="32"/>
          <w:szCs w:val="32"/>
        </w:rPr>
        <w:t>支持企业设立首席数据官、打造数据中台和私有数据集，选树一批工业智能体应用典型案例，探索建设人工智能应用中试基地</w:t>
      </w:r>
      <w:r>
        <w:rPr>
          <w:rFonts w:hint="eastAsia" w:ascii="Times New Roman" w:hAnsi="Times New Roman" w:eastAsia="仿宋_GB2312" w:cs="Times New Roman"/>
          <w:sz w:val="32"/>
          <w:szCs w:val="32"/>
        </w:rPr>
        <w:t>。</w:t>
      </w:r>
      <w:r>
        <w:rPr>
          <w:rFonts w:ascii="Times New Roman" w:hAnsi="Times New Roman" w:eastAsia="仿宋_GB2312" w:cs="Times New Roman"/>
          <w:b/>
          <w:bCs/>
          <w:sz w:val="32"/>
          <w:szCs w:val="32"/>
        </w:rPr>
        <w:t>搭建人工智能赋能制造业供需对接平台。</w:t>
      </w:r>
      <w:r>
        <w:rPr>
          <w:rFonts w:ascii="Times New Roman" w:hAnsi="Times New Roman" w:eastAsia="仿宋_GB2312" w:cs="Times New Roman"/>
          <w:sz w:val="32"/>
          <w:szCs w:val="32"/>
        </w:rPr>
        <w:t>开展制造业企业智能化成熟度评估，</w:t>
      </w:r>
      <w:r>
        <w:rPr>
          <w:rFonts w:hint="eastAsia" w:ascii="Times New Roman" w:hAnsi="Times New Roman" w:eastAsia="仿宋_GB2312" w:cs="Times New Roman"/>
          <w:sz w:val="32"/>
          <w:szCs w:val="32"/>
        </w:rPr>
        <w:t>举办</w:t>
      </w:r>
      <w:r>
        <w:rPr>
          <w:rFonts w:ascii="Times New Roman" w:hAnsi="Times New Roman" w:eastAsia="仿宋_GB2312" w:cs="Times New Roman"/>
          <w:sz w:val="32"/>
          <w:szCs w:val="32"/>
        </w:rPr>
        <w:t>技术交流、供需对接、场景共建等活动，推动服务商与企业深度合作，联合开发行业定制化解决方案。</w:t>
      </w:r>
    </w:p>
    <w:p w14:paraId="77593C78">
      <w:pPr>
        <w:spacing w:after="0" w:line="590" w:lineRule="exact"/>
        <w:ind w:firstLine="643" w:firstLineChars="200"/>
        <w:jc w:val="both"/>
        <w:outlineLvl w:val="2"/>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3．开发人工智能应用新产品</w:t>
      </w:r>
    </w:p>
    <w:p w14:paraId="3571BF08">
      <w:pPr>
        <w:spacing w:after="0" w:line="59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开发装备类人工智能产品。</w:t>
      </w:r>
      <w:r>
        <w:rPr>
          <w:rFonts w:ascii="Times New Roman" w:hAnsi="Times New Roman" w:eastAsia="仿宋_GB2312" w:cs="Times New Roman"/>
          <w:sz w:val="32"/>
          <w:szCs w:val="32"/>
        </w:rPr>
        <w:t>推动人工智能技术融入汽车、航天装备、能源装备以及低空飞行器等研发、制造、运行，培育智能网联汽车、智慧能源装备、智能低空装备等重磅产品。</w:t>
      </w:r>
      <w:r>
        <w:rPr>
          <w:rFonts w:ascii="Times New Roman" w:hAnsi="Times New Roman" w:eastAsia="仿宋_GB2312" w:cs="Times New Roman"/>
          <w:b/>
          <w:bCs/>
          <w:sz w:val="32"/>
          <w:szCs w:val="32"/>
        </w:rPr>
        <w:t>创新具身智能产品。</w:t>
      </w:r>
      <w:r>
        <w:rPr>
          <w:rFonts w:ascii="Times New Roman" w:hAnsi="Times New Roman" w:eastAsia="仿宋_GB2312" w:cs="Times New Roman"/>
          <w:sz w:val="32"/>
          <w:szCs w:val="32"/>
        </w:rPr>
        <w:t>支持科研机构、企业等攻关环境深度感知、自主决策、人机自然交互、持续进化等关键技术，开发工业协作机器人、智能巡检机器人、物流搬运机器人、特种作业机器人等具身智能产品。</w:t>
      </w:r>
      <w:r>
        <w:rPr>
          <w:rFonts w:hint="eastAsia" w:ascii="Times New Roman" w:hAnsi="Times New Roman" w:eastAsia="仿宋_GB2312" w:cs="Times New Roman"/>
          <w:b/>
          <w:bCs/>
          <w:sz w:val="32"/>
          <w:szCs w:val="32"/>
        </w:rPr>
        <w:t>开发“人工智能</w:t>
      </w:r>
      <w:r>
        <w:rPr>
          <w:rFonts w:ascii="Times New Roman" w:hAnsi="Times New Roman" w:eastAsia="仿宋_GB2312" w:cs="Times New Roman"/>
          <w:b/>
          <w:bCs/>
          <w:sz w:val="32"/>
          <w:szCs w:val="32"/>
        </w:rPr>
        <w:t>+</w:t>
      </w:r>
      <w:r>
        <w:rPr>
          <w:rFonts w:hint="eastAsia" w:ascii="Times New Roman" w:hAnsi="Times New Roman" w:eastAsia="仿宋_GB2312" w:cs="Times New Roman"/>
          <w:b/>
          <w:bCs/>
          <w:sz w:val="32"/>
          <w:szCs w:val="32"/>
        </w:rPr>
        <w:t>智能制造”产品。</w:t>
      </w:r>
      <w:r>
        <w:rPr>
          <w:rFonts w:hint="eastAsia" w:ascii="Times New Roman" w:hAnsi="Times New Roman" w:eastAsia="仿宋_GB2312" w:cs="Times New Roman"/>
          <w:sz w:val="32"/>
          <w:szCs w:val="32"/>
        </w:rPr>
        <w:t>以生产管控、质量检测、设备运维等环节为重点，支持制造企业新技术新产品新场景应用示范，开发一批行业数据集、垂类模型、工业智能体等“小快轻准”产品，培育一批人机交互优质产品。</w:t>
      </w:r>
    </w:p>
    <w:p w14:paraId="67BA5E0F">
      <w:pPr>
        <w:spacing w:after="0" w:line="590" w:lineRule="exact"/>
        <w:ind w:firstLine="640" w:firstLineChars="200"/>
        <w:jc w:val="both"/>
        <w:outlineLvl w:val="1"/>
        <w:rPr>
          <w:rFonts w:ascii="Times New Roman" w:hAnsi="Times New Roman" w:eastAsia="楷体_GB2312" w:cs="Times New Roman"/>
          <w:sz w:val="32"/>
          <w:szCs w:val="32"/>
        </w:rPr>
      </w:pPr>
      <w:bookmarkStart w:id="21" w:name="_Toc236926311"/>
      <w:r>
        <w:rPr>
          <w:rFonts w:ascii="Times New Roman" w:hAnsi="Times New Roman" w:eastAsia="楷体_GB2312" w:cs="Times New Roman"/>
          <w:sz w:val="32"/>
          <w:szCs w:val="32"/>
        </w:rPr>
        <w:t>（六）深入实施绿色制造转型工程</w:t>
      </w:r>
      <w:bookmarkEnd w:id="21"/>
    </w:p>
    <w:p w14:paraId="73B76294">
      <w:pPr>
        <w:spacing w:after="0" w:line="590" w:lineRule="exact"/>
        <w:ind w:firstLine="643" w:firstLineChars="200"/>
        <w:jc w:val="both"/>
        <w:outlineLvl w:val="2"/>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1．加快构建绿色制造体系</w:t>
      </w:r>
    </w:p>
    <w:p w14:paraId="5D4DAEA4">
      <w:pPr>
        <w:spacing w:after="0" w:line="59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强化绿色工厂标杆示范。</w:t>
      </w:r>
      <w:r>
        <w:rPr>
          <w:rFonts w:ascii="Times New Roman" w:hAnsi="Times New Roman" w:eastAsia="仿宋_GB2312" w:cs="Times New Roman"/>
          <w:sz w:val="32"/>
          <w:szCs w:val="32"/>
        </w:rPr>
        <w:t>实施绿色工厂提质扩面行动，鼓励企业绿色化升级改造，推动企业纳入市级绿色工厂梯度培育名单，支持企业创建省级、国家级绿色工厂，积极培育零碳工厂、绿色供应链管理企业。</w:t>
      </w:r>
      <w:r>
        <w:rPr>
          <w:rFonts w:ascii="Times New Roman" w:hAnsi="Times New Roman" w:eastAsia="仿宋_GB2312" w:cs="Times New Roman"/>
          <w:b/>
          <w:bCs/>
          <w:sz w:val="32"/>
          <w:szCs w:val="32"/>
        </w:rPr>
        <w:t>积极创建绿色园区和零碳园区。</w:t>
      </w:r>
      <w:r>
        <w:rPr>
          <w:rFonts w:ascii="Times New Roman" w:hAnsi="Times New Roman" w:eastAsia="仿宋_GB2312" w:cs="Times New Roman"/>
          <w:sz w:val="32"/>
          <w:szCs w:val="32"/>
        </w:rPr>
        <w:t>巩固成都经开区绿色汽车产业园四川省近零碳排放园区试点建设成果，适时申建国家级生态工业示范园区和零碳园区。</w:t>
      </w:r>
      <w:r>
        <w:rPr>
          <w:rFonts w:ascii="Times New Roman" w:hAnsi="Times New Roman" w:eastAsia="仿宋_GB2312" w:cs="Times New Roman"/>
          <w:b/>
          <w:bCs/>
          <w:sz w:val="32"/>
          <w:szCs w:val="32"/>
        </w:rPr>
        <w:t>开发绿色低碳认证产品。</w:t>
      </w:r>
      <w:r>
        <w:rPr>
          <w:rFonts w:ascii="Times New Roman" w:hAnsi="Times New Roman" w:eastAsia="仿宋_GB2312" w:cs="Times New Roman"/>
          <w:sz w:val="32"/>
          <w:szCs w:val="32"/>
        </w:rPr>
        <w:t>开展重点产品碳排放核算，打造一批具有国际竞争力的“龙泉造”绿色低碳产品。</w:t>
      </w:r>
    </w:p>
    <w:p w14:paraId="0831B28E">
      <w:pPr>
        <w:spacing w:after="0" w:line="590" w:lineRule="exact"/>
        <w:ind w:firstLine="643" w:firstLineChars="200"/>
        <w:jc w:val="both"/>
        <w:outlineLvl w:val="2"/>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2．加快重点行业节能降碳</w:t>
      </w:r>
    </w:p>
    <w:p w14:paraId="759BB76B">
      <w:pPr>
        <w:spacing w:after="0" w:line="59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推动重点领域企业节能降碳。</w:t>
      </w:r>
      <w:r>
        <w:rPr>
          <w:rFonts w:ascii="Times New Roman" w:hAnsi="Times New Roman" w:eastAsia="仿宋_GB2312" w:cs="Times New Roman"/>
          <w:sz w:val="32"/>
          <w:szCs w:val="32"/>
        </w:rPr>
        <w:t>推广节能低碳和清洁生产技术装备，支持企业更新淘汰落后设备，鼓励企业实施锅炉窑炉节能改造、电机系统能效提升等节能工程，推进工艺流程更新升级，持续开展节能审查、节能监察、节能诊断，“一企一策”挖掘节能潜力。</w:t>
      </w:r>
      <w:r>
        <w:rPr>
          <w:rFonts w:ascii="Times New Roman" w:hAnsi="Times New Roman" w:eastAsia="仿宋_GB2312" w:cs="Times New Roman"/>
          <w:b/>
          <w:bCs/>
          <w:sz w:val="32"/>
          <w:szCs w:val="32"/>
        </w:rPr>
        <w:t>加快清洁能源替代。</w:t>
      </w:r>
      <w:r>
        <w:rPr>
          <w:rFonts w:ascii="Times New Roman" w:hAnsi="Times New Roman" w:eastAsia="仿宋_GB2312" w:cs="Times New Roman"/>
          <w:sz w:val="32"/>
          <w:szCs w:val="32"/>
        </w:rPr>
        <w:t>大力实施清洁能源替代行动，推动光伏、储能等分布式清洁能源应用，鼓励企业余热余压回收、电能替代、绿色微电网建设。</w:t>
      </w:r>
    </w:p>
    <w:p w14:paraId="71D868CC">
      <w:pPr>
        <w:spacing w:after="0" w:line="590" w:lineRule="exact"/>
        <w:ind w:firstLine="643" w:firstLineChars="200"/>
        <w:jc w:val="both"/>
        <w:outlineLvl w:val="2"/>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3．推动工业资源循环利用</w:t>
      </w:r>
    </w:p>
    <w:p w14:paraId="16394DBA">
      <w:pPr>
        <w:spacing w:after="0" w:line="59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推进工业废旧资源回收利用。</w:t>
      </w:r>
      <w:r>
        <w:rPr>
          <w:rFonts w:ascii="Times New Roman" w:hAnsi="Times New Roman" w:eastAsia="仿宋_GB2312" w:cs="Times New Roman"/>
          <w:sz w:val="32"/>
          <w:szCs w:val="32"/>
        </w:rPr>
        <w:t>支持建设专业化资源回收利用基地，健全工业固废、废旧动力电池、废旧零部件及废钢、废铝、废塑料等回收利用体系，推动企业内部废弃物循环利用。强化工业中水回用与梯级利用，提升水资源重复利用率。</w:t>
      </w:r>
      <w:r>
        <w:rPr>
          <w:rFonts w:ascii="Times New Roman" w:hAnsi="Times New Roman" w:eastAsia="仿宋_GB2312" w:cs="Times New Roman"/>
          <w:b/>
          <w:bCs/>
          <w:sz w:val="32"/>
          <w:szCs w:val="32"/>
        </w:rPr>
        <w:t>培育发展再制造产业。</w:t>
      </w:r>
      <w:r>
        <w:rPr>
          <w:rFonts w:ascii="Times New Roman" w:hAnsi="Times New Roman" w:eastAsia="仿宋_GB2312" w:cs="Times New Roman"/>
          <w:sz w:val="32"/>
          <w:szCs w:val="32"/>
        </w:rPr>
        <w:t>大力发展高技术、高品质、高可靠、高安全的再制造产业，推广无损拆解、高效清洗、精密修复等先进技术。培育专业化再制造企业，完善质量认证与流通体系，提升产业附加值与市场认可度。</w:t>
      </w:r>
    </w:p>
    <w:p w14:paraId="2F67968A">
      <w:pPr>
        <w:spacing w:after="0" w:line="590" w:lineRule="exact"/>
        <w:ind w:firstLine="640" w:firstLineChars="200"/>
        <w:jc w:val="both"/>
        <w:outlineLvl w:val="1"/>
        <w:rPr>
          <w:rFonts w:ascii="Times New Roman" w:hAnsi="Times New Roman" w:eastAsia="楷体_GB2312" w:cs="Times New Roman"/>
          <w:sz w:val="32"/>
          <w:szCs w:val="32"/>
        </w:rPr>
      </w:pPr>
      <w:bookmarkStart w:id="22" w:name="_Toc236926312"/>
      <w:r>
        <w:rPr>
          <w:rFonts w:ascii="Times New Roman" w:hAnsi="Times New Roman" w:eastAsia="楷体_GB2312" w:cs="Times New Roman"/>
          <w:sz w:val="32"/>
          <w:szCs w:val="32"/>
        </w:rPr>
        <w:t>（七）深入实施要素优化配置工程</w:t>
      </w:r>
      <w:bookmarkEnd w:id="22"/>
    </w:p>
    <w:p w14:paraId="3406E7ED">
      <w:pPr>
        <w:spacing w:after="0" w:line="590" w:lineRule="exact"/>
        <w:ind w:firstLine="643" w:firstLineChars="200"/>
        <w:jc w:val="both"/>
        <w:outlineLvl w:val="2"/>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1．强化产业空间集约高效利用</w:t>
      </w:r>
    </w:p>
    <w:p w14:paraId="07FC46FE">
      <w:pPr>
        <w:spacing w:after="0" w:line="59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盘活低效闲置用地。</w:t>
      </w:r>
      <w:r>
        <w:rPr>
          <w:rFonts w:ascii="Times New Roman" w:hAnsi="Times New Roman" w:eastAsia="仿宋_GB2312" w:cs="Times New Roman"/>
          <w:sz w:val="32"/>
          <w:szCs w:val="32"/>
        </w:rPr>
        <w:t>开展“亩均论英雄”评价，及时调整全区低效用地认定标准，建立低效闲置用地台账，采用“一地一专班一方案”等方式，综合利用政府收购储备、产权分割转让、二次开发等方式，全面提升土地节约集约利用水平。</w:t>
      </w:r>
      <w:r>
        <w:rPr>
          <w:rFonts w:ascii="Times New Roman" w:hAnsi="Times New Roman" w:eastAsia="仿宋_GB2312" w:cs="Times New Roman"/>
          <w:b/>
          <w:bCs/>
          <w:sz w:val="32"/>
          <w:szCs w:val="32"/>
        </w:rPr>
        <w:t>用好存量载体空间。</w:t>
      </w:r>
      <w:r>
        <w:rPr>
          <w:rFonts w:ascii="Times New Roman" w:hAnsi="Times New Roman" w:eastAsia="仿宋_GB2312" w:cs="Times New Roman"/>
          <w:sz w:val="32"/>
          <w:szCs w:val="32"/>
        </w:rPr>
        <w:t>大力推进标准厂房去化，开展闲置、低效厂房“工改工”，推动标准厂房改造为孵化器、加速器，引入轻型制造、中试制造、共享制造等新业态企业</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促进载体功能再生。</w:t>
      </w:r>
      <w:r>
        <w:rPr>
          <w:rFonts w:ascii="Times New Roman" w:hAnsi="Times New Roman" w:eastAsia="仿宋_GB2312" w:cs="Times New Roman"/>
          <w:b/>
          <w:bCs/>
          <w:sz w:val="32"/>
          <w:szCs w:val="32"/>
        </w:rPr>
        <w:t>实施标准地改革。</w:t>
      </w:r>
      <w:r>
        <w:rPr>
          <w:rFonts w:ascii="Times New Roman" w:hAnsi="Times New Roman" w:eastAsia="仿宋_GB2312" w:cs="Times New Roman"/>
          <w:sz w:val="32"/>
          <w:szCs w:val="32"/>
        </w:rPr>
        <w:t>构建投资强度、亩均营收、亩均税收、创新投入、单位能耗等土地出让指标，建立“标准地”项目审批绿色通道，实现新增工业用地100%“标准地”供应。</w:t>
      </w:r>
      <w:r>
        <w:rPr>
          <w:rFonts w:ascii="Times New Roman" w:hAnsi="Times New Roman" w:eastAsia="仿宋_GB2312" w:cs="Times New Roman"/>
          <w:b/>
          <w:bCs/>
          <w:sz w:val="32"/>
          <w:szCs w:val="32"/>
        </w:rPr>
        <w:t>探索多元化产业用地供给方式。</w:t>
      </w:r>
      <w:r>
        <w:rPr>
          <w:rFonts w:ascii="Times New Roman" w:hAnsi="Times New Roman" w:eastAsia="仿宋_GB2312" w:cs="Times New Roman"/>
          <w:sz w:val="32"/>
          <w:szCs w:val="32"/>
        </w:rPr>
        <w:t>综合运用弹性年期出让、长期租赁、先租后让、租让结合等方式，降低优质项目初始用地成本。</w:t>
      </w:r>
    </w:p>
    <w:p w14:paraId="743C3438">
      <w:pPr>
        <w:spacing w:after="0" w:line="590" w:lineRule="exact"/>
        <w:ind w:firstLine="643" w:firstLineChars="200"/>
        <w:jc w:val="both"/>
        <w:outlineLvl w:val="2"/>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2．强化急需紧缺产业人才供给</w:t>
      </w:r>
    </w:p>
    <w:p w14:paraId="44AC4027">
      <w:pPr>
        <w:spacing w:after="0" w:line="59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加强高端人才引进。</w:t>
      </w:r>
      <w:r>
        <w:rPr>
          <w:rFonts w:ascii="Times New Roman" w:hAnsi="Times New Roman" w:eastAsia="仿宋_GB2312" w:cs="Times New Roman"/>
          <w:sz w:val="32"/>
          <w:szCs w:val="32"/>
        </w:rPr>
        <w:t>建立健全紧缺人才目录，探索“企业提需求+政府给支持”联合引才模式，深化“科技副总”“产业教授”等制度，持续开展“融驿青年”感知龙泉行活动，常态化组织国内院士专家等领军人才进园区、进企业活动，靶向引进一批“高精尖缺”人才。</w:t>
      </w:r>
      <w:r>
        <w:rPr>
          <w:rFonts w:ascii="Times New Roman" w:hAnsi="Times New Roman" w:eastAsia="仿宋_GB2312" w:cs="Times New Roman"/>
          <w:b/>
          <w:bCs/>
          <w:sz w:val="32"/>
          <w:szCs w:val="32"/>
        </w:rPr>
        <w:t>加强高技能人才培养。</w:t>
      </w:r>
      <w:r>
        <w:rPr>
          <w:rFonts w:ascii="Times New Roman" w:hAnsi="Times New Roman" w:eastAsia="仿宋_GB2312" w:cs="Times New Roman"/>
          <w:sz w:val="32"/>
          <w:szCs w:val="32"/>
        </w:rPr>
        <w:t>深化产教融合模式创新，积极开展“企校双制、工学一体”的新型学徒制培训试点，支持企业联合高校共建卓越工程师实践基地、产业创新实习基地、联合培养基地等，建设区域产教融合实践中心，培育一批满足产业需求的高技能人才。</w:t>
      </w:r>
    </w:p>
    <w:p w14:paraId="1F260318">
      <w:pPr>
        <w:spacing w:after="0" w:line="590" w:lineRule="exact"/>
        <w:ind w:firstLine="643" w:firstLineChars="200"/>
        <w:jc w:val="both"/>
        <w:outlineLvl w:val="2"/>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3．强化产业金融要素精准配置</w:t>
      </w:r>
    </w:p>
    <w:p w14:paraId="10516AEA">
      <w:pPr>
        <w:spacing w:after="0" w:line="59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用好存量产业基金。</w:t>
      </w:r>
      <w:r>
        <w:rPr>
          <w:rFonts w:hint="eastAsia" w:ascii="Times New Roman" w:hAnsi="Times New Roman" w:eastAsia="仿宋_GB2312" w:cs="Times New Roman"/>
          <w:sz w:val="32"/>
          <w:szCs w:val="32"/>
        </w:rPr>
        <w:t>完善</w:t>
      </w:r>
      <w:r>
        <w:rPr>
          <w:rFonts w:ascii="Times New Roman" w:hAnsi="Times New Roman" w:eastAsia="仿宋_GB2312" w:cs="Times New Roman"/>
          <w:sz w:val="32"/>
          <w:szCs w:val="32"/>
        </w:rPr>
        <w:t>产业创新、企业成长，完善优化全生命周期股权融资及资本运作服务，打造“耐心资本、战略资本”。</w:t>
      </w:r>
      <w:r>
        <w:rPr>
          <w:rFonts w:ascii="Times New Roman" w:hAnsi="Times New Roman" w:eastAsia="仿宋_GB2312" w:cs="Times New Roman"/>
          <w:b/>
          <w:bCs/>
          <w:sz w:val="32"/>
          <w:szCs w:val="32"/>
        </w:rPr>
        <w:t>争取省市产业基金支持。</w:t>
      </w:r>
      <w:r>
        <w:rPr>
          <w:rFonts w:ascii="Times New Roman" w:hAnsi="Times New Roman" w:eastAsia="仿宋_GB2312" w:cs="Times New Roman"/>
          <w:sz w:val="32"/>
          <w:szCs w:val="32"/>
        </w:rPr>
        <w:t>链接成都一汽产业发展投资基金，用好用活经开产投基金，联合链主企业、市场化产业资本，挖掘优质项目资源，开展产业项目投资招引，打造高、新、精、尖产业集群。</w:t>
      </w:r>
    </w:p>
    <w:p w14:paraId="1E7F5985">
      <w:pPr>
        <w:spacing w:after="0" w:line="590" w:lineRule="exact"/>
        <w:ind w:firstLine="640" w:firstLineChars="200"/>
        <w:jc w:val="both"/>
        <w:outlineLvl w:val="1"/>
        <w:rPr>
          <w:rFonts w:ascii="Times New Roman" w:hAnsi="Times New Roman" w:eastAsia="楷体_GB2312" w:cs="Times New Roman"/>
          <w:sz w:val="32"/>
          <w:szCs w:val="32"/>
        </w:rPr>
      </w:pPr>
      <w:bookmarkStart w:id="23" w:name="_Toc236926313"/>
      <w:r>
        <w:rPr>
          <w:rFonts w:ascii="Times New Roman" w:hAnsi="Times New Roman" w:eastAsia="楷体_GB2312" w:cs="Times New Roman"/>
          <w:sz w:val="32"/>
          <w:szCs w:val="32"/>
        </w:rPr>
        <w:t>（八）深入实施产业开放协作工程</w:t>
      </w:r>
      <w:bookmarkEnd w:id="23"/>
    </w:p>
    <w:p w14:paraId="1699F3DF">
      <w:pPr>
        <w:spacing w:after="0" w:line="590" w:lineRule="exact"/>
        <w:ind w:firstLine="643" w:firstLineChars="200"/>
        <w:jc w:val="both"/>
        <w:outlineLvl w:val="2"/>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1．融入成渝地区先进制造业发展</w:t>
      </w:r>
    </w:p>
    <w:p w14:paraId="2B2D8077">
      <w:pPr>
        <w:spacing w:after="0" w:line="59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服务成渝地区双城经济圈建设。</w:t>
      </w:r>
      <w:r>
        <w:rPr>
          <w:rFonts w:ascii="Times New Roman" w:hAnsi="Times New Roman" w:eastAsia="仿宋_GB2312" w:cs="Times New Roman"/>
          <w:sz w:val="32"/>
          <w:szCs w:val="32"/>
        </w:rPr>
        <w:t>深化与重庆两江新区、南岸区等产业协作，</w:t>
      </w:r>
      <w:r>
        <w:rPr>
          <w:rFonts w:hint="eastAsia" w:ascii="Times New Roman" w:hAnsi="Times New Roman" w:eastAsia="仿宋_GB2312" w:cs="Times New Roman"/>
          <w:sz w:val="32"/>
          <w:szCs w:val="32"/>
        </w:rPr>
        <w:t>推动</w:t>
      </w:r>
      <w:r>
        <w:rPr>
          <w:rFonts w:ascii="Times New Roman" w:hAnsi="Times New Roman" w:eastAsia="仿宋_GB2312" w:cs="Times New Roman"/>
          <w:sz w:val="32"/>
          <w:szCs w:val="32"/>
        </w:rPr>
        <w:t>成渝地区汽车产业标准、检验检测、场景测试结果互认，强化成都经开区“无水港”与果园港双港联动，高水平共建成渝地区汽车产业集群，提升成渝地区“整零”协同产业生态能力，打造成渝“氢走廊”“电走廊”“智行走廊”“低空经济走廊”合作样板。</w:t>
      </w:r>
      <w:r>
        <w:rPr>
          <w:rFonts w:ascii="Times New Roman" w:hAnsi="Times New Roman" w:eastAsia="仿宋_GB2312" w:cs="Times New Roman"/>
          <w:b/>
          <w:bCs/>
          <w:sz w:val="32"/>
          <w:szCs w:val="32"/>
        </w:rPr>
        <w:t>服务“五区共兴”和成都都市圈发展。</w:t>
      </w:r>
      <w:r>
        <w:rPr>
          <w:rFonts w:ascii="Times New Roman" w:hAnsi="Times New Roman" w:eastAsia="仿宋_GB2312" w:cs="Times New Roman"/>
          <w:sz w:val="32"/>
          <w:szCs w:val="32"/>
        </w:rPr>
        <w:t>深化“研发+制造”“总部+基地”“终端产品+协作配套”产业协作模式，常态化发布汽车、先进能源等产业供需目录，提升省内协作配套水平，服务成德绵自凉航空航天集群、成德高端能源装备等国家级产业集群建设。</w:t>
      </w:r>
      <w:r>
        <w:rPr>
          <w:rFonts w:ascii="Times New Roman" w:hAnsi="Times New Roman" w:eastAsia="仿宋_GB2312" w:cs="Times New Roman"/>
          <w:b/>
          <w:bCs/>
          <w:sz w:val="32"/>
          <w:szCs w:val="32"/>
        </w:rPr>
        <w:t>服务全国先进制造业基地建设。</w:t>
      </w:r>
      <w:r>
        <w:rPr>
          <w:rFonts w:ascii="Times New Roman" w:hAnsi="Times New Roman" w:eastAsia="仿宋_GB2312" w:cs="Times New Roman"/>
          <w:sz w:val="32"/>
          <w:szCs w:val="32"/>
        </w:rPr>
        <w:t>深化与四川天府新区、成都高新区等产业协作，共建智能网联汽车、先进能源、新型材料、航空航天等重点产业链。深化与青白江国际铁路港、天府国际机场等</w:t>
      </w:r>
      <w:r>
        <w:rPr>
          <w:rFonts w:hint="eastAsia" w:ascii="Times New Roman" w:hAnsi="Times New Roman" w:eastAsia="仿宋_GB2312" w:cs="Times New Roman"/>
          <w:sz w:val="32"/>
          <w:szCs w:val="32"/>
        </w:rPr>
        <w:t>多式联运、软硬件衔接等枢纽节点</w:t>
      </w:r>
      <w:r>
        <w:rPr>
          <w:rFonts w:ascii="Times New Roman" w:hAnsi="Times New Roman" w:eastAsia="仿宋_GB2312" w:cs="Times New Roman"/>
          <w:sz w:val="32"/>
          <w:szCs w:val="32"/>
        </w:rPr>
        <w:t>联动，构建高效联通的国际多式联运物流体系。</w:t>
      </w:r>
    </w:p>
    <w:p w14:paraId="0BA60F87">
      <w:pPr>
        <w:spacing w:after="0" w:line="590" w:lineRule="exact"/>
        <w:ind w:firstLine="643" w:firstLineChars="200"/>
        <w:jc w:val="both"/>
        <w:outlineLvl w:val="2"/>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2．高水平承接东部地区产业转移</w:t>
      </w:r>
    </w:p>
    <w:p w14:paraId="7CAE6DA7">
      <w:pPr>
        <w:spacing w:after="0" w:line="59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积极争取央国企战略布局。</w:t>
      </w:r>
      <w:r>
        <w:rPr>
          <w:rFonts w:ascii="Times New Roman" w:hAnsi="Times New Roman" w:eastAsia="仿宋_GB2312" w:cs="Times New Roman"/>
          <w:sz w:val="32"/>
          <w:szCs w:val="32"/>
        </w:rPr>
        <w:t>用好</w:t>
      </w:r>
      <w:r>
        <w:rPr>
          <w:rFonts w:hint="eastAsia" w:ascii="Times New Roman" w:hAnsi="Times New Roman" w:eastAsia="仿宋_GB2312" w:cs="Times New Roman"/>
          <w:sz w:val="32"/>
          <w:szCs w:val="32"/>
        </w:rPr>
        <w:t>本地央国企</w:t>
      </w:r>
      <w:r>
        <w:rPr>
          <w:rFonts w:ascii="Times New Roman" w:hAnsi="Times New Roman" w:eastAsia="仿宋_GB2312" w:cs="Times New Roman"/>
          <w:sz w:val="32"/>
          <w:szCs w:val="32"/>
        </w:rPr>
        <w:t>桥梁纽带，主动对接争取</w:t>
      </w:r>
      <w:r>
        <w:rPr>
          <w:rFonts w:hint="eastAsia" w:ascii="Times New Roman" w:hAnsi="Times New Roman" w:eastAsia="仿宋_GB2312" w:cs="Times New Roman"/>
          <w:sz w:val="32"/>
          <w:szCs w:val="32"/>
        </w:rPr>
        <w:t>布局</w:t>
      </w:r>
      <w:r>
        <w:rPr>
          <w:rFonts w:ascii="Times New Roman" w:hAnsi="Times New Roman" w:eastAsia="仿宋_GB2312" w:cs="Times New Roman"/>
          <w:sz w:val="32"/>
          <w:szCs w:val="32"/>
        </w:rPr>
        <w:t>重大平台</w:t>
      </w:r>
      <w:r>
        <w:rPr>
          <w:rFonts w:hint="eastAsia" w:ascii="Times New Roman" w:hAnsi="Times New Roman" w:eastAsia="仿宋_GB2312" w:cs="Times New Roman"/>
          <w:sz w:val="32"/>
          <w:szCs w:val="32"/>
        </w:rPr>
        <w:t>、重点项目</w:t>
      </w:r>
      <w:r>
        <w:rPr>
          <w:rFonts w:ascii="Times New Roman" w:hAnsi="Times New Roman" w:eastAsia="仿宋_GB2312" w:cs="Times New Roman"/>
          <w:sz w:val="32"/>
          <w:szCs w:val="32"/>
        </w:rPr>
        <w:t>。</w:t>
      </w:r>
      <w:r>
        <w:rPr>
          <w:rFonts w:ascii="Times New Roman" w:hAnsi="Times New Roman" w:eastAsia="仿宋_GB2312" w:cs="Times New Roman"/>
          <w:b/>
          <w:bCs/>
          <w:sz w:val="32"/>
          <w:szCs w:val="32"/>
        </w:rPr>
        <w:t>精准招引重大产业化项目。</w:t>
      </w:r>
      <w:r>
        <w:rPr>
          <w:rFonts w:ascii="Times New Roman" w:hAnsi="Times New Roman" w:eastAsia="仿宋_GB2312" w:cs="Times New Roman"/>
          <w:sz w:val="32"/>
          <w:szCs w:val="32"/>
        </w:rPr>
        <w:t>加强与省级、市级驻外招商部门合作，链接东部地区产业协会、驻外校友会等资源，梳理东部优质企业技术转移、产能扩张、市场拓展等信息，引进一批具有高附加值、强带动效应的链主型和关键配套项目。</w:t>
      </w:r>
    </w:p>
    <w:p w14:paraId="4AB1A80A">
      <w:pPr>
        <w:spacing w:after="0" w:line="590" w:lineRule="exact"/>
        <w:ind w:firstLine="643" w:firstLineChars="200"/>
        <w:jc w:val="both"/>
        <w:outlineLvl w:val="2"/>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3．推动“龙泉造”产品出川出海</w:t>
      </w:r>
    </w:p>
    <w:p w14:paraId="1C885197">
      <w:pPr>
        <w:spacing w:after="0" w:line="59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建强高水平开放平台。</w:t>
      </w:r>
      <w:r>
        <w:rPr>
          <w:rFonts w:ascii="Times New Roman" w:hAnsi="Times New Roman" w:eastAsia="仿宋_GB2312" w:cs="Times New Roman"/>
          <w:sz w:val="32"/>
          <w:szCs w:val="32"/>
        </w:rPr>
        <w:t>高质量建设自贸区协同改革先行区，积极争取省级经济管理权限下放。发挥中法成都生态园等国别园区作用，</w:t>
      </w:r>
      <w:r>
        <w:rPr>
          <w:rFonts w:hint="eastAsia" w:ascii="Times New Roman" w:hAnsi="Times New Roman" w:eastAsia="仿宋_GB2312" w:cs="Times New Roman"/>
          <w:sz w:val="32"/>
          <w:szCs w:val="32"/>
        </w:rPr>
        <w:t>引进</w:t>
      </w:r>
      <w:r>
        <w:rPr>
          <w:rFonts w:ascii="Times New Roman" w:hAnsi="Times New Roman" w:eastAsia="仿宋_GB2312" w:cs="Times New Roman"/>
          <w:sz w:val="32"/>
          <w:szCs w:val="32"/>
        </w:rPr>
        <w:t>外资产业化项目。持续优化成都公路口岸功能和营商环境，深化无轨站设立、跨境电商出口、TIR跨境运输及中欧班列新能源</w:t>
      </w:r>
      <w:r>
        <w:rPr>
          <w:rFonts w:hint="eastAsia" w:ascii="Times New Roman" w:hAnsi="Times New Roman" w:eastAsia="仿宋_GB2312" w:cs="Times New Roman"/>
          <w:sz w:val="32"/>
          <w:szCs w:val="32"/>
        </w:rPr>
        <w:t>车</w:t>
      </w:r>
      <w:r>
        <w:rPr>
          <w:rFonts w:ascii="Times New Roman" w:hAnsi="Times New Roman" w:eastAsia="仿宋_GB2312" w:cs="Times New Roman"/>
          <w:sz w:val="32"/>
          <w:szCs w:val="32"/>
        </w:rPr>
        <w:t>带电运输等试点，提高成都公路口岸服务能级。</w:t>
      </w:r>
      <w:r>
        <w:rPr>
          <w:rFonts w:ascii="Times New Roman" w:hAnsi="Times New Roman" w:eastAsia="仿宋_GB2312" w:cs="Times New Roman"/>
          <w:b/>
          <w:bCs/>
          <w:sz w:val="32"/>
          <w:szCs w:val="32"/>
        </w:rPr>
        <w:t>支持企业拓展国际市场。</w:t>
      </w:r>
      <w:r>
        <w:rPr>
          <w:rFonts w:ascii="Times New Roman" w:hAnsi="Times New Roman" w:eastAsia="仿宋_GB2312" w:cs="Times New Roman"/>
          <w:sz w:val="32"/>
          <w:szCs w:val="32"/>
        </w:rPr>
        <w:t>强化与“一带一路”沿线国家经贸合作，主动对接东盟、中亚等新兴市场，推进区级</w:t>
      </w:r>
      <w:r>
        <w:rPr>
          <w:rFonts w:hint="eastAsia" w:ascii="Times New Roman" w:hAnsi="Times New Roman" w:eastAsia="仿宋_GB2312" w:cs="Times New Roman"/>
          <w:sz w:val="32"/>
          <w:szCs w:val="32"/>
        </w:rPr>
        <w:t>汽车产业出海服务中心</w:t>
      </w:r>
      <w:r>
        <w:rPr>
          <w:rFonts w:ascii="Times New Roman" w:hAnsi="Times New Roman" w:eastAsia="仿宋_GB2312" w:cs="Times New Roman"/>
          <w:sz w:val="32"/>
          <w:szCs w:val="32"/>
        </w:rPr>
        <w:t>实体化运营，提供集成海关、税务、金融、法律等“一站式”全链条解决方案，推动“龙泉造”汽车及零部件、先进材料、智能装备等产品走出去，提高国际市场份额。</w:t>
      </w:r>
      <w:r>
        <w:rPr>
          <w:rFonts w:ascii="Times New Roman" w:hAnsi="Times New Roman" w:eastAsia="仿宋_GB2312" w:cs="Times New Roman"/>
          <w:b/>
          <w:bCs/>
          <w:sz w:val="32"/>
          <w:szCs w:val="32"/>
        </w:rPr>
        <w:t>提高“龙泉造”显示度。</w:t>
      </w:r>
      <w:r>
        <w:rPr>
          <w:rFonts w:ascii="Times New Roman" w:hAnsi="Times New Roman" w:eastAsia="仿宋_GB2312" w:cs="Times New Roman"/>
          <w:sz w:val="32"/>
          <w:szCs w:val="32"/>
        </w:rPr>
        <w:t>支持更多“龙泉造”产品入选“成都工业精品”、中国消费名品，全力打造</w:t>
      </w:r>
      <w:r>
        <w:rPr>
          <w:rFonts w:ascii="Times New Roman" w:hAnsi="Times New Roman" w:eastAsia="仿宋_GB2312" w:cs="Times New Roman"/>
          <w:sz w:val="32"/>
          <w:szCs w:val="32"/>
          <w:lang w:bidi="ar"/>
        </w:rPr>
        <w:t>智能车、航空器、新材料等系列产业名品。支持</w:t>
      </w:r>
      <w:r>
        <w:rPr>
          <w:rFonts w:ascii="Times New Roman" w:hAnsi="Times New Roman" w:eastAsia="仿宋_GB2312" w:cs="Times New Roman"/>
          <w:sz w:val="32"/>
          <w:szCs w:val="32"/>
        </w:rPr>
        <w:t>企业参加国际国内知名展会，建立全球营销网络和售后服务体系，提升产品质量和品牌价值，增强国际知名度和美誉度。</w:t>
      </w:r>
    </w:p>
    <w:p w14:paraId="34AECC0C">
      <w:pPr>
        <w:spacing w:after="0" w:line="590" w:lineRule="exact"/>
        <w:ind w:firstLine="640" w:firstLineChars="200"/>
        <w:jc w:val="both"/>
        <w:outlineLvl w:val="1"/>
        <w:rPr>
          <w:rFonts w:ascii="Times New Roman" w:hAnsi="Times New Roman" w:eastAsia="楷体_GB2312" w:cs="Times New Roman"/>
          <w:sz w:val="32"/>
          <w:szCs w:val="32"/>
        </w:rPr>
      </w:pPr>
      <w:bookmarkStart w:id="24" w:name="_Toc236926314"/>
      <w:r>
        <w:rPr>
          <w:rFonts w:ascii="Times New Roman" w:hAnsi="Times New Roman" w:eastAsia="楷体_GB2312" w:cs="Times New Roman"/>
          <w:sz w:val="32"/>
          <w:szCs w:val="32"/>
        </w:rPr>
        <w:t>（九）深入实施营商环境建设工程</w:t>
      </w:r>
      <w:bookmarkEnd w:id="24"/>
    </w:p>
    <w:p w14:paraId="30D6B90F">
      <w:pPr>
        <w:spacing w:after="0" w:line="590" w:lineRule="exact"/>
        <w:ind w:firstLine="643" w:firstLineChars="200"/>
        <w:jc w:val="both"/>
        <w:outlineLvl w:val="2"/>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1．建设一流营商环境品牌</w:t>
      </w:r>
    </w:p>
    <w:p w14:paraId="38863FFA">
      <w:pPr>
        <w:spacing w:after="0" w:line="59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深化“高效办成一件事”改革。</w:t>
      </w:r>
      <w:r>
        <w:rPr>
          <w:rFonts w:ascii="Times New Roman" w:hAnsi="Times New Roman" w:eastAsia="仿宋_GB2312" w:cs="Times New Roman"/>
          <w:sz w:val="32"/>
          <w:szCs w:val="32"/>
        </w:rPr>
        <w:t>聚焦企业高频事项，推动跨部门、跨层级政务服务事项集成化办理。优化完善“线上平台+线下载体+服务队伍+机制保障”四位一体的企业服务工作体系。打通数据壁垒，推动“一网通办”从“可办”向“好办、易办、智办”升级。全面推广电子证照、电子印章应用，探索更多事项“秒批秒办”“免申即享”。</w:t>
      </w:r>
      <w:r>
        <w:rPr>
          <w:rFonts w:ascii="Times New Roman" w:hAnsi="Times New Roman" w:eastAsia="仿宋_GB2312" w:cs="Times New Roman"/>
          <w:b/>
          <w:bCs/>
          <w:sz w:val="32"/>
          <w:szCs w:val="32"/>
        </w:rPr>
        <w:t>全面开展</w:t>
      </w:r>
      <w:r>
        <w:rPr>
          <w:rFonts w:hint="eastAsia" w:ascii="Times New Roman" w:hAnsi="Times New Roman" w:eastAsia="仿宋_GB2312" w:cs="Times New Roman"/>
          <w:b/>
          <w:bCs/>
          <w:sz w:val="32"/>
          <w:szCs w:val="32"/>
        </w:rPr>
        <w:t>涉企行政检查</w:t>
      </w:r>
      <w:r>
        <w:rPr>
          <w:rFonts w:ascii="Times New Roman" w:hAnsi="Times New Roman" w:eastAsia="仿宋_GB2312" w:cs="Times New Roman"/>
          <w:b/>
          <w:bCs/>
          <w:sz w:val="32"/>
          <w:szCs w:val="32"/>
        </w:rPr>
        <w:t>“综合查一次”改革。</w:t>
      </w:r>
      <w:r>
        <w:rPr>
          <w:rFonts w:ascii="Times New Roman" w:hAnsi="Times New Roman" w:eastAsia="仿宋_GB2312" w:cs="Times New Roman"/>
          <w:sz w:val="32"/>
          <w:szCs w:val="32"/>
        </w:rPr>
        <w:t>深化涉企行政检查“白名单”制度应用，建立健全跨部门联合抽查工作机制，实现“进一次门、查多项事”</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依法扩大“首违免罚”适用范围，推行包容审慎监管。深化“证照分离”改革，在风险可控前提下探索容缺审批、告知承诺制等创新模式。</w:t>
      </w:r>
    </w:p>
    <w:p w14:paraId="11513742">
      <w:pPr>
        <w:spacing w:after="0" w:line="590" w:lineRule="exact"/>
        <w:ind w:firstLine="643" w:firstLineChars="200"/>
        <w:jc w:val="both"/>
        <w:outlineLvl w:val="2"/>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2．迭代升级“进解优促”</w:t>
      </w:r>
    </w:p>
    <w:p w14:paraId="73C1A5DB">
      <w:pPr>
        <w:spacing w:after="0" w:line="59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完善企业诉求闭环管理体系。</w:t>
      </w:r>
      <w:r>
        <w:rPr>
          <w:rFonts w:ascii="Times New Roman" w:hAnsi="Times New Roman" w:eastAsia="仿宋_GB2312" w:cs="Times New Roman"/>
          <w:sz w:val="32"/>
          <w:szCs w:val="32"/>
        </w:rPr>
        <w:t>迭代升级“进万企、解难题、优环境、促发展”常态化企业服务，搭建供需对接、产融合作、科技创新、人才引育、场景发布等各类“企需我应”资源对接平台，深化“链长</w:t>
      </w:r>
      <w:r>
        <w:rPr>
          <w:rFonts w:hint="eastAsia" w:ascii="Times New Roman" w:hAnsi="Times New Roman" w:eastAsia="仿宋_GB2312" w:cs="Times New Roman"/>
          <w:sz w:val="32"/>
          <w:szCs w:val="32"/>
        </w:rPr>
        <w:t>面对面</w:t>
      </w:r>
      <w:r>
        <w:rPr>
          <w:rFonts w:ascii="Times New Roman" w:hAnsi="Times New Roman" w:eastAsia="仿宋_GB2312" w:cs="Times New Roman"/>
          <w:sz w:val="32"/>
          <w:szCs w:val="32"/>
        </w:rPr>
        <w:t>、局长</w:t>
      </w:r>
      <w:r>
        <w:rPr>
          <w:rFonts w:hint="eastAsia" w:ascii="Times New Roman" w:hAnsi="Times New Roman" w:eastAsia="仿宋_GB2312" w:cs="Times New Roman"/>
          <w:sz w:val="32"/>
          <w:szCs w:val="32"/>
        </w:rPr>
        <w:t>周周见</w:t>
      </w:r>
      <w:r>
        <w:rPr>
          <w:rFonts w:ascii="Times New Roman" w:hAnsi="Times New Roman" w:eastAsia="仿宋_GB2312" w:cs="Times New Roman"/>
          <w:sz w:val="32"/>
          <w:szCs w:val="32"/>
        </w:rPr>
        <w:t>”等服务机制。持续开展民企会客厅等活动。健全“线上随时见、线下定期见”政企交流机制，构建“线上收集、线下走访、平台流转、限时办结、反馈评价”的全流程闭环管理机制。</w:t>
      </w:r>
      <w:r>
        <w:rPr>
          <w:rFonts w:ascii="Times New Roman" w:hAnsi="Times New Roman" w:eastAsia="仿宋_GB2312" w:cs="Times New Roman"/>
          <w:b/>
          <w:bCs/>
          <w:sz w:val="32"/>
          <w:szCs w:val="32"/>
        </w:rPr>
        <w:t>构建亲清政商关系。</w:t>
      </w:r>
      <w:r>
        <w:rPr>
          <w:rFonts w:ascii="Times New Roman" w:hAnsi="Times New Roman" w:eastAsia="仿宋_GB2312" w:cs="Times New Roman"/>
          <w:sz w:val="32"/>
          <w:szCs w:val="32"/>
        </w:rPr>
        <w:t>持续擦亮“驿站办”营商环境品牌。优化惠企政策全流程服务，利用大数据精准推送政策，推动财政奖补、税费减免等政策“直达快享”。完善民营企业和行业协会商会参与涉企重大政策制定和评估机制</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依法保护各类市场主体产权和合法权益，完善拖欠账款治理长效机制。</w:t>
      </w:r>
    </w:p>
    <w:p w14:paraId="6704BC51">
      <w:pPr>
        <w:spacing w:after="0" w:line="590" w:lineRule="exact"/>
        <w:ind w:firstLine="640" w:firstLineChars="200"/>
        <w:jc w:val="both"/>
        <w:outlineLvl w:val="0"/>
        <w:rPr>
          <w:rFonts w:ascii="Times New Roman" w:hAnsi="Times New Roman" w:eastAsia="黑体" w:cs="Times New Roman"/>
          <w:sz w:val="32"/>
          <w:szCs w:val="32"/>
        </w:rPr>
      </w:pPr>
      <w:bookmarkStart w:id="25" w:name="_Toc236926315"/>
      <w:r>
        <w:rPr>
          <w:rFonts w:ascii="Times New Roman" w:hAnsi="Times New Roman" w:eastAsia="黑体" w:cs="Times New Roman"/>
          <w:sz w:val="32"/>
          <w:szCs w:val="32"/>
        </w:rPr>
        <w:t>六、保障措施</w:t>
      </w:r>
      <w:bookmarkEnd w:id="25"/>
    </w:p>
    <w:p w14:paraId="3BB94FB6">
      <w:pPr>
        <w:spacing w:after="0" w:line="590" w:lineRule="exact"/>
        <w:ind w:firstLine="640" w:firstLineChars="200"/>
        <w:jc w:val="both"/>
        <w:outlineLvl w:val="1"/>
        <w:rPr>
          <w:rFonts w:ascii="Times New Roman" w:hAnsi="Times New Roman" w:eastAsia="楷体_GB2312" w:cs="Times New Roman"/>
          <w:sz w:val="32"/>
          <w:szCs w:val="32"/>
        </w:rPr>
      </w:pPr>
      <w:bookmarkStart w:id="26" w:name="_Toc236926316"/>
      <w:r>
        <w:rPr>
          <w:rFonts w:ascii="Times New Roman" w:hAnsi="Times New Roman" w:eastAsia="楷体_GB2312" w:cs="Times New Roman"/>
          <w:sz w:val="32"/>
          <w:szCs w:val="32"/>
        </w:rPr>
        <w:t>（一）强化规划实施保障</w:t>
      </w:r>
      <w:bookmarkEnd w:id="26"/>
    </w:p>
    <w:p w14:paraId="4F33BC41">
      <w:pPr>
        <w:spacing w:after="0" w:line="59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加强组织领导，完善全区推进规划实施的工作机制，及时研究、协调解决规划实施过程中遇到的困难和问题。建立健全常态化议事协调和督查推进机制，开展阶段性检查工作，根据发展实际及时调整规划内容，为规划实施提供有效组织保障。强化产业体系的统计分析，推进规划实施情况的动态监测和评估，制定规划实施年度计划，开展年度跟踪监测和阶段性评估。</w:t>
      </w:r>
    </w:p>
    <w:p w14:paraId="0EC9D9DD">
      <w:pPr>
        <w:spacing w:after="0" w:line="590" w:lineRule="exact"/>
        <w:ind w:firstLine="640" w:firstLineChars="200"/>
        <w:jc w:val="both"/>
        <w:outlineLvl w:val="1"/>
        <w:rPr>
          <w:rFonts w:ascii="Times New Roman" w:hAnsi="Times New Roman" w:eastAsia="楷体_GB2312" w:cs="Times New Roman"/>
          <w:sz w:val="32"/>
          <w:szCs w:val="32"/>
        </w:rPr>
      </w:pPr>
      <w:bookmarkStart w:id="27" w:name="_Toc236926317"/>
      <w:r>
        <w:rPr>
          <w:rFonts w:ascii="Times New Roman" w:hAnsi="Times New Roman" w:eastAsia="楷体_GB2312" w:cs="Times New Roman"/>
          <w:sz w:val="32"/>
          <w:szCs w:val="32"/>
        </w:rPr>
        <w:t>（二）强化产业精细治理</w:t>
      </w:r>
      <w:bookmarkEnd w:id="27"/>
    </w:p>
    <w:p w14:paraId="70B7BB5D">
      <w:pPr>
        <w:spacing w:after="0" w:line="59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充分发挥市场在资源配置中的决定性作用，更好发挥政府作用，推动产业政策向普惠化、功能性转变。持续深化“放管服”改革，进一步优化减少行政审批，加强事中事后监管，探索适用于新产业、新业态发展的监管措施。按照包容审慎的原则，在严守安全底线的前提下，适当放宽新兴领域产品和服务准入门槛，为产业发展留足空间。</w:t>
      </w:r>
    </w:p>
    <w:p w14:paraId="539BD4F2">
      <w:pPr>
        <w:spacing w:after="0" w:line="590" w:lineRule="exact"/>
        <w:ind w:firstLine="640" w:firstLineChars="200"/>
        <w:jc w:val="both"/>
        <w:outlineLvl w:val="1"/>
        <w:rPr>
          <w:rFonts w:ascii="Times New Roman" w:hAnsi="Times New Roman" w:eastAsia="楷体_GB2312" w:cs="Times New Roman"/>
          <w:sz w:val="32"/>
          <w:szCs w:val="32"/>
        </w:rPr>
      </w:pPr>
      <w:bookmarkStart w:id="28" w:name="_Toc236926318"/>
      <w:r>
        <w:rPr>
          <w:rFonts w:ascii="Times New Roman" w:hAnsi="Times New Roman" w:eastAsia="楷体_GB2312" w:cs="Times New Roman"/>
          <w:sz w:val="32"/>
          <w:szCs w:val="32"/>
        </w:rPr>
        <w:t>（三）强化安全发展底线</w:t>
      </w:r>
      <w:bookmarkEnd w:id="28"/>
    </w:p>
    <w:p w14:paraId="1C4532FD">
      <w:pPr>
        <w:spacing w:after="0" w:line="59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统筹发展和安全，强化产业链供应链安全保障，建立产业链安全监测、风险预警、应急处置机制，提升自主可控能力、抗风险能力、安全保障能力。加强安全生产监管，压实企业安全生产主体责任，完善安全生产制度、隐患排查治理、应急救援体系，坚决防范重特大安全事故发生。强化生态环境保护，严守生态保护红线、环境质量底线、资源利用上线，推动产业发展与生态保护协同共进、绿色发展、高质量发展。</w:t>
      </w:r>
    </w:p>
    <w:p w14:paraId="25C1DD0B">
      <w:pPr>
        <w:spacing w:after="0" w:line="590" w:lineRule="exact"/>
        <w:ind w:firstLine="640" w:firstLineChars="200"/>
        <w:jc w:val="both"/>
        <w:rPr>
          <w:rFonts w:ascii="Times New Roman" w:hAnsi="Times New Roman" w:eastAsia="仿宋_GB2312" w:cs="Times New Roman"/>
          <w:sz w:val="32"/>
          <w:szCs w:val="32"/>
        </w:rPr>
      </w:pPr>
    </w:p>
    <w:sectPr>
      <w:footerReference r:id="rId6" w:type="default"/>
      <w:pgSz w:w="11906" w:h="16838"/>
      <w:pgMar w:top="1440" w:right="1800" w:bottom="1440" w:left="180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方正书宋简体"/>
    <w:panose1 w:val="02010600030101010101"/>
    <w:charset w:val="86"/>
    <w:family w:val="auto"/>
    <w:pitch w:val="default"/>
    <w:sig w:usb0="00000000" w:usb1="00000000" w:usb2="00000016" w:usb3="00000000" w:csb0="0004000F" w:csb1="00000000"/>
  </w:font>
  <w:font w:name="方正书宋简体">
    <w:panose1 w:val="02010601030101010101"/>
    <w:charset w:val="86"/>
    <w:family w:val="auto"/>
    <w:pitch w:val="default"/>
    <w:sig w:usb0="00000001" w:usb1="080E0000" w:usb2="00000000" w:usb3="00000000" w:csb0="00040000" w:csb1="00000000"/>
  </w:font>
  <w:font w:name="等线">
    <w:altName w:val="仿宋_GB2312"/>
    <w:panose1 w:val="00000000000000000000"/>
    <w:charset w:val="86"/>
    <w:family w:val="auto"/>
    <w:pitch w:val="default"/>
    <w:sig w:usb0="00000000" w:usb1="00000000" w:usb2="00000000" w:usb3="00000000" w:csb0="00000000" w:csb1="00000000"/>
  </w:font>
  <w:font w:name="等线">
    <w:altName w:val="仿宋_GB2312"/>
    <w:panose1 w:val="00000000000000000000"/>
    <w:charset w:val="00"/>
    <w:family w:val="auto"/>
    <w:pitch w:val="default"/>
    <w:sig w:usb0="00000000" w:usb1="00000000" w:usb2="00000000" w:usb3="00000000" w:csb0="00000000" w:csb1="00000000"/>
  </w:font>
  <w:font w:name="等线 Light">
    <w:altName w:val="方正书宋简体"/>
    <w:panose1 w:val="02010600030101010101"/>
    <w:charset w:val="86"/>
    <w:family w:val="auto"/>
    <w:pitch w:val="default"/>
    <w:sig w:usb0="00000000" w:usb1="00000000" w:usb2="00000016" w:usb3="00000000" w:csb0="0004000F"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altName w:val="方正楷体_GBK"/>
    <w:panose1 w:val="02010609030101010101"/>
    <w:charset w:val="86"/>
    <w:family w:val="modern"/>
    <w:pitch w:val="default"/>
    <w:sig w:usb0="00000000" w:usb1="00000000" w:usb2="00000010" w:usb3="00000000" w:csb0="00040000" w:csb1="00000000"/>
  </w:font>
  <w:font w:name="方正楷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CJK JP Bold">
    <w:panose1 w:val="020B0800000000000000"/>
    <w:charset w:val="86"/>
    <w:family w:val="auto"/>
    <w:pitch w:val="default"/>
    <w:sig w:usb0="30000003" w:usb1="2BDF3C10" w:usb2="00000016" w:usb3="00000000" w:csb0="602E0107" w:csb1="00000000"/>
  </w:font>
  <w:font w:name="等线 Light">
    <w:altName w:val="仿宋_GB2312"/>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FF88C">
    <w:pPr>
      <w:pStyle w:val="14"/>
      <w:spacing w:after="0"/>
      <w:jc w:val="center"/>
      <w:rPr>
        <w:rFonts w:ascii="Times New Roman" w:hAnsi="Times New Roman" w:cs="Times New Roman"/>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2724908"/>
    </w:sdtPr>
    <w:sdtEndPr>
      <w:rPr>
        <w:rFonts w:ascii="Times New Roman" w:hAnsi="Times New Roman" w:cs="Times New Roman"/>
        <w:sz w:val="24"/>
        <w:szCs w:val="24"/>
      </w:rPr>
    </w:sdtEndPr>
    <w:sdtContent>
      <w:p w14:paraId="2CD9904B">
        <w:pPr>
          <w:pStyle w:val="14"/>
          <w:spacing w:after="0"/>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2</w:t>
        </w:r>
        <w:r>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FAF"/>
    <w:rsid w:val="00003A93"/>
    <w:rsid w:val="000065A3"/>
    <w:rsid w:val="000154C9"/>
    <w:rsid w:val="00017C5D"/>
    <w:rsid w:val="0002040B"/>
    <w:rsid w:val="0003464B"/>
    <w:rsid w:val="00035429"/>
    <w:rsid w:val="000422B6"/>
    <w:rsid w:val="00050A42"/>
    <w:rsid w:val="00063808"/>
    <w:rsid w:val="000922A6"/>
    <w:rsid w:val="00093F33"/>
    <w:rsid w:val="000A26D4"/>
    <w:rsid w:val="000A4381"/>
    <w:rsid w:val="000B50E1"/>
    <w:rsid w:val="000C3EBB"/>
    <w:rsid w:val="000E2D3B"/>
    <w:rsid w:val="000E7C57"/>
    <w:rsid w:val="000E7C5B"/>
    <w:rsid w:val="00106969"/>
    <w:rsid w:val="00107DCC"/>
    <w:rsid w:val="00107F8A"/>
    <w:rsid w:val="00114F08"/>
    <w:rsid w:val="00133AC2"/>
    <w:rsid w:val="001564D6"/>
    <w:rsid w:val="00156CAF"/>
    <w:rsid w:val="001C1266"/>
    <w:rsid w:val="001E0362"/>
    <w:rsid w:val="001F2AAB"/>
    <w:rsid w:val="00206C3A"/>
    <w:rsid w:val="00222DD7"/>
    <w:rsid w:val="0023493E"/>
    <w:rsid w:val="00252D7C"/>
    <w:rsid w:val="002576C0"/>
    <w:rsid w:val="00262DAA"/>
    <w:rsid w:val="00264287"/>
    <w:rsid w:val="00285F06"/>
    <w:rsid w:val="00295CA5"/>
    <w:rsid w:val="002A17F8"/>
    <w:rsid w:val="002A2936"/>
    <w:rsid w:val="002B7534"/>
    <w:rsid w:val="002D08FA"/>
    <w:rsid w:val="002D707A"/>
    <w:rsid w:val="0030750B"/>
    <w:rsid w:val="00315525"/>
    <w:rsid w:val="00330117"/>
    <w:rsid w:val="00335CE7"/>
    <w:rsid w:val="00345569"/>
    <w:rsid w:val="00366484"/>
    <w:rsid w:val="003978B9"/>
    <w:rsid w:val="003A2C4C"/>
    <w:rsid w:val="003B3645"/>
    <w:rsid w:val="003D6167"/>
    <w:rsid w:val="003E0CE7"/>
    <w:rsid w:val="003F24BC"/>
    <w:rsid w:val="003F6DEF"/>
    <w:rsid w:val="00403AE9"/>
    <w:rsid w:val="004125A8"/>
    <w:rsid w:val="00413770"/>
    <w:rsid w:val="00416856"/>
    <w:rsid w:val="00427EA2"/>
    <w:rsid w:val="00471D28"/>
    <w:rsid w:val="00472EC4"/>
    <w:rsid w:val="004921DF"/>
    <w:rsid w:val="004929AC"/>
    <w:rsid w:val="004A5D67"/>
    <w:rsid w:val="004B0372"/>
    <w:rsid w:val="004E78F3"/>
    <w:rsid w:val="004F16A4"/>
    <w:rsid w:val="00515AB1"/>
    <w:rsid w:val="00522065"/>
    <w:rsid w:val="00522A39"/>
    <w:rsid w:val="0053293B"/>
    <w:rsid w:val="00532E2E"/>
    <w:rsid w:val="00543EAA"/>
    <w:rsid w:val="005720FA"/>
    <w:rsid w:val="00574116"/>
    <w:rsid w:val="00575AA6"/>
    <w:rsid w:val="005B6AA2"/>
    <w:rsid w:val="005C57AC"/>
    <w:rsid w:val="00604851"/>
    <w:rsid w:val="006067E0"/>
    <w:rsid w:val="00611BCA"/>
    <w:rsid w:val="00616996"/>
    <w:rsid w:val="00622261"/>
    <w:rsid w:val="00627821"/>
    <w:rsid w:val="006378D2"/>
    <w:rsid w:val="006474EB"/>
    <w:rsid w:val="00655958"/>
    <w:rsid w:val="00667ADB"/>
    <w:rsid w:val="00672FAF"/>
    <w:rsid w:val="006745F2"/>
    <w:rsid w:val="00674989"/>
    <w:rsid w:val="006770F1"/>
    <w:rsid w:val="0068652E"/>
    <w:rsid w:val="00692A99"/>
    <w:rsid w:val="006B4473"/>
    <w:rsid w:val="006E2DB6"/>
    <w:rsid w:val="006E7C5E"/>
    <w:rsid w:val="00712FAF"/>
    <w:rsid w:val="0071769D"/>
    <w:rsid w:val="00735E3C"/>
    <w:rsid w:val="00746772"/>
    <w:rsid w:val="00754300"/>
    <w:rsid w:val="00773334"/>
    <w:rsid w:val="00774773"/>
    <w:rsid w:val="00775420"/>
    <w:rsid w:val="00782B03"/>
    <w:rsid w:val="00791B59"/>
    <w:rsid w:val="007A54D3"/>
    <w:rsid w:val="007B0C33"/>
    <w:rsid w:val="007B7EE4"/>
    <w:rsid w:val="007B7F75"/>
    <w:rsid w:val="007C4A32"/>
    <w:rsid w:val="007E2A22"/>
    <w:rsid w:val="00800DFF"/>
    <w:rsid w:val="00811CFD"/>
    <w:rsid w:val="00825B13"/>
    <w:rsid w:val="00831E3F"/>
    <w:rsid w:val="008438CD"/>
    <w:rsid w:val="00854C92"/>
    <w:rsid w:val="0086610E"/>
    <w:rsid w:val="00871CA7"/>
    <w:rsid w:val="00875AF7"/>
    <w:rsid w:val="00877E84"/>
    <w:rsid w:val="00886A7E"/>
    <w:rsid w:val="008877DD"/>
    <w:rsid w:val="00895069"/>
    <w:rsid w:val="008B1F28"/>
    <w:rsid w:val="008D0617"/>
    <w:rsid w:val="008F2563"/>
    <w:rsid w:val="008F7247"/>
    <w:rsid w:val="00904DE2"/>
    <w:rsid w:val="009079A2"/>
    <w:rsid w:val="0095068E"/>
    <w:rsid w:val="00953143"/>
    <w:rsid w:val="00954BFE"/>
    <w:rsid w:val="00966C56"/>
    <w:rsid w:val="009730B8"/>
    <w:rsid w:val="009C7FAD"/>
    <w:rsid w:val="009D5784"/>
    <w:rsid w:val="009D6448"/>
    <w:rsid w:val="009E6267"/>
    <w:rsid w:val="009F6AF1"/>
    <w:rsid w:val="00A205B3"/>
    <w:rsid w:val="00A33647"/>
    <w:rsid w:val="00A35207"/>
    <w:rsid w:val="00A371CA"/>
    <w:rsid w:val="00A42B1D"/>
    <w:rsid w:val="00A46B75"/>
    <w:rsid w:val="00A50E44"/>
    <w:rsid w:val="00A54AF2"/>
    <w:rsid w:val="00A677D3"/>
    <w:rsid w:val="00A77AB0"/>
    <w:rsid w:val="00A905E1"/>
    <w:rsid w:val="00AA73BE"/>
    <w:rsid w:val="00AB0CEF"/>
    <w:rsid w:val="00AB28B3"/>
    <w:rsid w:val="00AB325A"/>
    <w:rsid w:val="00AB61CD"/>
    <w:rsid w:val="00AB6811"/>
    <w:rsid w:val="00B05873"/>
    <w:rsid w:val="00B061F0"/>
    <w:rsid w:val="00B06AC9"/>
    <w:rsid w:val="00B164F0"/>
    <w:rsid w:val="00B2191B"/>
    <w:rsid w:val="00B3172A"/>
    <w:rsid w:val="00B329CE"/>
    <w:rsid w:val="00B36A0F"/>
    <w:rsid w:val="00B478C5"/>
    <w:rsid w:val="00B66BC1"/>
    <w:rsid w:val="00B717F2"/>
    <w:rsid w:val="00B86300"/>
    <w:rsid w:val="00B868C6"/>
    <w:rsid w:val="00B97040"/>
    <w:rsid w:val="00BA553F"/>
    <w:rsid w:val="00BB7BE6"/>
    <w:rsid w:val="00BC3546"/>
    <w:rsid w:val="00BC40C1"/>
    <w:rsid w:val="00BC7FD7"/>
    <w:rsid w:val="00BD5653"/>
    <w:rsid w:val="00BD7F14"/>
    <w:rsid w:val="00BE617A"/>
    <w:rsid w:val="00BE6BFE"/>
    <w:rsid w:val="00BF0D79"/>
    <w:rsid w:val="00BF2FA9"/>
    <w:rsid w:val="00C226FC"/>
    <w:rsid w:val="00C3037F"/>
    <w:rsid w:val="00C32418"/>
    <w:rsid w:val="00C56A79"/>
    <w:rsid w:val="00C67261"/>
    <w:rsid w:val="00C701FB"/>
    <w:rsid w:val="00C8378E"/>
    <w:rsid w:val="00C84FA7"/>
    <w:rsid w:val="00C8516A"/>
    <w:rsid w:val="00CA310B"/>
    <w:rsid w:val="00CA31D5"/>
    <w:rsid w:val="00CC60B9"/>
    <w:rsid w:val="00CC7517"/>
    <w:rsid w:val="00CD18F7"/>
    <w:rsid w:val="00CF4F74"/>
    <w:rsid w:val="00D01ABC"/>
    <w:rsid w:val="00D02752"/>
    <w:rsid w:val="00D101DA"/>
    <w:rsid w:val="00D22F4F"/>
    <w:rsid w:val="00D51AC3"/>
    <w:rsid w:val="00D74C21"/>
    <w:rsid w:val="00D77B87"/>
    <w:rsid w:val="00D8362B"/>
    <w:rsid w:val="00D86F07"/>
    <w:rsid w:val="00D87154"/>
    <w:rsid w:val="00D9386F"/>
    <w:rsid w:val="00DA6040"/>
    <w:rsid w:val="00DB3A43"/>
    <w:rsid w:val="00DB5520"/>
    <w:rsid w:val="00DB6976"/>
    <w:rsid w:val="00DC20B8"/>
    <w:rsid w:val="00DD2C7F"/>
    <w:rsid w:val="00DF39BF"/>
    <w:rsid w:val="00E11ADA"/>
    <w:rsid w:val="00E1483F"/>
    <w:rsid w:val="00E17EE1"/>
    <w:rsid w:val="00E30AFE"/>
    <w:rsid w:val="00E30BC4"/>
    <w:rsid w:val="00E36747"/>
    <w:rsid w:val="00E465C7"/>
    <w:rsid w:val="00E56158"/>
    <w:rsid w:val="00E56C50"/>
    <w:rsid w:val="00E57992"/>
    <w:rsid w:val="00E62B77"/>
    <w:rsid w:val="00E63726"/>
    <w:rsid w:val="00E63BA4"/>
    <w:rsid w:val="00E65E55"/>
    <w:rsid w:val="00E66400"/>
    <w:rsid w:val="00E8009E"/>
    <w:rsid w:val="00E9217E"/>
    <w:rsid w:val="00E923A6"/>
    <w:rsid w:val="00E9299E"/>
    <w:rsid w:val="00ED180F"/>
    <w:rsid w:val="00ED26FB"/>
    <w:rsid w:val="00ED2F21"/>
    <w:rsid w:val="00EE25EB"/>
    <w:rsid w:val="00EE44A3"/>
    <w:rsid w:val="00EF0279"/>
    <w:rsid w:val="00F02226"/>
    <w:rsid w:val="00F06C1B"/>
    <w:rsid w:val="00F2710B"/>
    <w:rsid w:val="00F422FE"/>
    <w:rsid w:val="00F42AC8"/>
    <w:rsid w:val="00F47F82"/>
    <w:rsid w:val="00F52CDA"/>
    <w:rsid w:val="00F66BDF"/>
    <w:rsid w:val="00F71195"/>
    <w:rsid w:val="00F83E90"/>
    <w:rsid w:val="00F95861"/>
    <w:rsid w:val="00FA1F62"/>
    <w:rsid w:val="00FA48A8"/>
    <w:rsid w:val="00FB3390"/>
    <w:rsid w:val="00FC03AC"/>
    <w:rsid w:val="00FC7D21"/>
    <w:rsid w:val="0FC56B9F"/>
    <w:rsid w:val="135467C4"/>
    <w:rsid w:val="75B71D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99"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7"/>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8"/>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9"/>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30"/>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31"/>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32"/>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33"/>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4"/>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5"/>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3">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unhideWhenUsed/>
    <w:qFormat/>
    <w:uiPriority w:val="35"/>
    <w:pPr>
      <w:spacing w:after="0" w:line="240" w:lineRule="auto"/>
      <w:jc w:val="both"/>
    </w:pPr>
    <w:rPr>
      <w:rFonts w:eastAsia="黑体" w:asciiTheme="majorHAnsi" w:hAnsiTheme="majorHAnsi" w:cstheme="majorBidi"/>
      <w:sz w:val="20"/>
      <w:szCs w:val="20"/>
    </w:rPr>
  </w:style>
  <w:style w:type="paragraph" w:styleId="12">
    <w:name w:val="annotation text"/>
    <w:basedOn w:val="1"/>
    <w:link w:val="50"/>
    <w:unhideWhenUsed/>
    <w:qFormat/>
    <w:uiPriority w:val="99"/>
  </w:style>
  <w:style w:type="paragraph" w:styleId="13">
    <w:name w:val="toc 3"/>
    <w:basedOn w:val="1"/>
    <w:next w:val="1"/>
    <w:autoRedefine/>
    <w:unhideWhenUsed/>
    <w:qFormat/>
    <w:uiPriority w:val="39"/>
    <w:pPr>
      <w:ind w:left="840" w:leftChars="400"/>
    </w:pPr>
  </w:style>
  <w:style w:type="paragraph" w:styleId="14">
    <w:name w:val="footer"/>
    <w:basedOn w:val="1"/>
    <w:link w:val="46"/>
    <w:unhideWhenUsed/>
    <w:qFormat/>
    <w:uiPriority w:val="99"/>
    <w:pPr>
      <w:tabs>
        <w:tab w:val="center" w:pos="4153"/>
        <w:tab w:val="right" w:pos="8306"/>
      </w:tabs>
      <w:snapToGrid w:val="0"/>
      <w:spacing w:line="240" w:lineRule="auto"/>
    </w:pPr>
    <w:rPr>
      <w:sz w:val="18"/>
      <w:szCs w:val="18"/>
    </w:rPr>
  </w:style>
  <w:style w:type="paragraph" w:styleId="15">
    <w:name w:val="header"/>
    <w:basedOn w:val="1"/>
    <w:link w:val="45"/>
    <w:unhideWhenUsed/>
    <w:qFormat/>
    <w:uiPriority w:val="99"/>
    <w:pPr>
      <w:tabs>
        <w:tab w:val="center" w:pos="4153"/>
        <w:tab w:val="right" w:pos="8306"/>
      </w:tabs>
      <w:snapToGrid w:val="0"/>
      <w:spacing w:line="240" w:lineRule="auto"/>
      <w:jc w:val="center"/>
    </w:pPr>
    <w:rPr>
      <w:sz w:val="18"/>
      <w:szCs w:val="18"/>
    </w:rPr>
  </w:style>
  <w:style w:type="paragraph" w:styleId="16">
    <w:name w:val="toc 1"/>
    <w:basedOn w:val="1"/>
    <w:next w:val="1"/>
    <w:autoRedefine/>
    <w:unhideWhenUsed/>
    <w:qFormat/>
    <w:uiPriority w:val="39"/>
  </w:style>
  <w:style w:type="paragraph" w:styleId="17">
    <w:name w:val="Subtitle"/>
    <w:basedOn w:val="1"/>
    <w:next w:val="1"/>
    <w:link w:val="37"/>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8">
    <w:name w:val="footnote text"/>
    <w:basedOn w:val="1"/>
    <w:link w:val="47"/>
    <w:unhideWhenUsed/>
    <w:qFormat/>
    <w:uiPriority w:val="0"/>
    <w:pPr>
      <w:snapToGrid w:val="0"/>
      <w:spacing w:after="0" w:line="240" w:lineRule="auto"/>
    </w:pPr>
    <w:rPr>
      <w:sz w:val="18"/>
      <w:szCs w:val="18"/>
    </w:rPr>
  </w:style>
  <w:style w:type="paragraph" w:styleId="19">
    <w:name w:val="toc 2"/>
    <w:basedOn w:val="1"/>
    <w:next w:val="1"/>
    <w:autoRedefine/>
    <w:unhideWhenUsed/>
    <w:qFormat/>
    <w:uiPriority w:val="39"/>
    <w:pPr>
      <w:ind w:left="420" w:leftChars="200"/>
    </w:pPr>
  </w:style>
  <w:style w:type="paragraph" w:styleId="20">
    <w:name w:val="Title"/>
    <w:basedOn w:val="1"/>
    <w:next w:val="1"/>
    <w:link w:val="36"/>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21">
    <w:name w:val="annotation subject"/>
    <w:basedOn w:val="12"/>
    <w:next w:val="12"/>
    <w:link w:val="51"/>
    <w:semiHidden/>
    <w:unhideWhenUsed/>
    <w:qFormat/>
    <w:uiPriority w:val="99"/>
    <w:rPr>
      <w:b/>
      <w:bCs/>
    </w:rPr>
  </w:style>
  <w:style w:type="character" w:styleId="24">
    <w:name w:val="Hyperlink"/>
    <w:basedOn w:val="23"/>
    <w:unhideWhenUsed/>
    <w:qFormat/>
    <w:uiPriority w:val="99"/>
    <w:rPr>
      <w:color w:val="467886" w:themeColor="hyperlink"/>
      <w:u w:val="single"/>
      <w14:textFill>
        <w14:solidFill>
          <w14:schemeClr w14:val="hlink"/>
        </w14:solidFill>
      </w14:textFill>
    </w:rPr>
  </w:style>
  <w:style w:type="character" w:styleId="25">
    <w:name w:val="annotation reference"/>
    <w:basedOn w:val="23"/>
    <w:semiHidden/>
    <w:unhideWhenUsed/>
    <w:qFormat/>
    <w:uiPriority w:val="99"/>
    <w:rPr>
      <w:sz w:val="21"/>
      <w:szCs w:val="21"/>
    </w:rPr>
  </w:style>
  <w:style w:type="character" w:styleId="26">
    <w:name w:val="footnote reference"/>
    <w:basedOn w:val="23"/>
    <w:unhideWhenUsed/>
    <w:qFormat/>
    <w:uiPriority w:val="99"/>
    <w:rPr>
      <w:vertAlign w:val="superscript"/>
    </w:rPr>
  </w:style>
  <w:style w:type="character" w:customStyle="1" w:styleId="27">
    <w:name w:val="标题 1 字符"/>
    <w:basedOn w:val="23"/>
    <w:link w:val="2"/>
    <w:qFormat/>
    <w:uiPriority w:val="9"/>
    <w:rPr>
      <w:rFonts w:asciiTheme="majorHAnsi" w:hAnsiTheme="majorHAnsi" w:eastAsiaTheme="majorEastAsia" w:cstheme="majorBidi"/>
      <w:color w:val="104862" w:themeColor="accent1" w:themeShade="BF"/>
      <w:sz w:val="48"/>
      <w:szCs w:val="48"/>
    </w:rPr>
  </w:style>
  <w:style w:type="character" w:customStyle="1" w:styleId="28">
    <w:name w:val="标题 2 字符"/>
    <w:basedOn w:val="23"/>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9">
    <w:name w:val="标题 3 字符"/>
    <w:basedOn w:val="23"/>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30">
    <w:name w:val="标题 4 字符"/>
    <w:basedOn w:val="23"/>
    <w:link w:val="5"/>
    <w:semiHidden/>
    <w:qFormat/>
    <w:uiPriority w:val="9"/>
    <w:rPr>
      <w:rFonts w:cstheme="majorBidi"/>
      <w:color w:val="104862" w:themeColor="accent1" w:themeShade="BF"/>
      <w:sz w:val="28"/>
      <w:szCs w:val="28"/>
    </w:rPr>
  </w:style>
  <w:style w:type="character" w:customStyle="1" w:styleId="31">
    <w:name w:val="标题 5 字符"/>
    <w:basedOn w:val="23"/>
    <w:link w:val="6"/>
    <w:semiHidden/>
    <w:qFormat/>
    <w:uiPriority w:val="9"/>
    <w:rPr>
      <w:rFonts w:cstheme="majorBidi"/>
      <w:color w:val="104862" w:themeColor="accent1" w:themeShade="BF"/>
      <w:sz w:val="24"/>
    </w:rPr>
  </w:style>
  <w:style w:type="character" w:customStyle="1" w:styleId="32">
    <w:name w:val="标题 6 字符"/>
    <w:basedOn w:val="23"/>
    <w:link w:val="7"/>
    <w:semiHidden/>
    <w:qFormat/>
    <w:uiPriority w:val="9"/>
    <w:rPr>
      <w:rFonts w:cstheme="majorBidi"/>
      <w:b/>
      <w:bCs/>
      <w:color w:val="104862" w:themeColor="accent1" w:themeShade="BF"/>
    </w:rPr>
  </w:style>
  <w:style w:type="character" w:customStyle="1" w:styleId="33">
    <w:name w:val="标题 7 字符"/>
    <w:basedOn w:val="23"/>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4">
    <w:name w:val="标题 8 字符"/>
    <w:basedOn w:val="23"/>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5">
    <w:name w:val="标题 9 字符"/>
    <w:basedOn w:val="23"/>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6">
    <w:name w:val="标题 字符"/>
    <w:basedOn w:val="23"/>
    <w:link w:val="20"/>
    <w:qFormat/>
    <w:uiPriority w:val="10"/>
    <w:rPr>
      <w:rFonts w:asciiTheme="majorHAnsi" w:hAnsiTheme="majorHAnsi" w:eastAsiaTheme="majorEastAsia" w:cstheme="majorBidi"/>
      <w:spacing w:val="-10"/>
      <w:kern w:val="28"/>
      <w:sz w:val="56"/>
      <w:szCs w:val="56"/>
    </w:rPr>
  </w:style>
  <w:style w:type="character" w:customStyle="1" w:styleId="37">
    <w:name w:val="副标题 字符"/>
    <w:basedOn w:val="23"/>
    <w:link w:val="17"/>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8">
    <w:name w:val="Quote"/>
    <w:basedOn w:val="1"/>
    <w:next w:val="1"/>
    <w:link w:val="3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9">
    <w:name w:val="引用 字符"/>
    <w:basedOn w:val="23"/>
    <w:link w:val="38"/>
    <w:qFormat/>
    <w:uiPriority w:val="29"/>
    <w:rPr>
      <w:i/>
      <w:iCs/>
      <w:color w:val="404040" w:themeColor="text1" w:themeTint="BF"/>
      <w14:textFill>
        <w14:solidFill>
          <w14:schemeClr w14:val="tx1">
            <w14:lumMod w14:val="75000"/>
            <w14:lumOff w14:val="25000"/>
          </w14:schemeClr>
        </w14:solidFill>
      </w14:textFill>
    </w:rPr>
  </w:style>
  <w:style w:type="paragraph" w:styleId="40">
    <w:name w:val="List Paragraph"/>
    <w:basedOn w:val="1"/>
    <w:qFormat/>
    <w:uiPriority w:val="34"/>
    <w:pPr>
      <w:ind w:left="720"/>
      <w:contextualSpacing/>
    </w:pPr>
  </w:style>
  <w:style w:type="character" w:customStyle="1" w:styleId="41">
    <w:name w:val="明显强调1"/>
    <w:basedOn w:val="23"/>
    <w:qFormat/>
    <w:uiPriority w:val="21"/>
    <w:rPr>
      <w:i/>
      <w:iCs/>
      <w:color w:val="104862" w:themeColor="accent1" w:themeShade="BF"/>
    </w:rPr>
  </w:style>
  <w:style w:type="paragraph" w:styleId="42">
    <w:name w:val="Intense Quote"/>
    <w:basedOn w:val="1"/>
    <w:next w:val="1"/>
    <w:link w:val="4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3">
    <w:name w:val="明显引用 字符"/>
    <w:basedOn w:val="23"/>
    <w:link w:val="42"/>
    <w:qFormat/>
    <w:uiPriority w:val="30"/>
    <w:rPr>
      <w:i/>
      <w:iCs/>
      <w:color w:val="104862" w:themeColor="accent1" w:themeShade="BF"/>
    </w:rPr>
  </w:style>
  <w:style w:type="character" w:customStyle="1" w:styleId="44">
    <w:name w:val="明显参考1"/>
    <w:basedOn w:val="23"/>
    <w:qFormat/>
    <w:uiPriority w:val="32"/>
    <w:rPr>
      <w:b/>
      <w:bCs/>
      <w:smallCaps/>
      <w:color w:val="104862" w:themeColor="accent1" w:themeShade="BF"/>
      <w:spacing w:val="5"/>
    </w:rPr>
  </w:style>
  <w:style w:type="character" w:customStyle="1" w:styleId="45">
    <w:name w:val="页眉 字符"/>
    <w:basedOn w:val="23"/>
    <w:link w:val="15"/>
    <w:qFormat/>
    <w:uiPriority w:val="99"/>
    <w:rPr>
      <w:sz w:val="18"/>
      <w:szCs w:val="18"/>
    </w:rPr>
  </w:style>
  <w:style w:type="character" w:customStyle="1" w:styleId="46">
    <w:name w:val="页脚 字符"/>
    <w:basedOn w:val="23"/>
    <w:link w:val="14"/>
    <w:qFormat/>
    <w:uiPriority w:val="99"/>
    <w:rPr>
      <w:sz w:val="18"/>
      <w:szCs w:val="18"/>
    </w:rPr>
  </w:style>
  <w:style w:type="character" w:customStyle="1" w:styleId="47">
    <w:name w:val="脚注文本 字符"/>
    <w:basedOn w:val="23"/>
    <w:link w:val="18"/>
    <w:qFormat/>
    <w:uiPriority w:val="99"/>
    <w:rPr>
      <w:kern w:val="2"/>
      <w:sz w:val="18"/>
      <w:szCs w:val="18"/>
      <w14:ligatures w14:val="standardContextual"/>
    </w:rPr>
  </w:style>
  <w:style w:type="paragraph" w:customStyle="1" w:styleId="48">
    <w:name w:val="TOC 标题1"/>
    <w:basedOn w:val="2"/>
    <w:next w:val="1"/>
    <w:unhideWhenUsed/>
    <w:qFormat/>
    <w:uiPriority w:val="39"/>
    <w:pPr>
      <w:widowControl/>
      <w:spacing w:before="240" w:after="0" w:line="259" w:lineRule="auto"/>
      <w:outlineLvl w:val="9"/>
    </w:pPr>
    <w:rPr>
      <w:kern w:val="0"/>
      <w:sz w:val="32"/>
      <w:szCs w:val="32"/>
      <w14:ligatures w14:val="none"/>
    </w:rPr>
  </w:style>
  <w:style w:type="paragraph" w:customStyle="1" w:styleId="49">
    <w:name w:val="Revision"/>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character" w:customStyle="1" w:styleId="50">
    <w:name w:val="批注文字 字符"/>
    <w:basedOn w:val="23"/>
    <w:link w:val="12"/>
    <w:qFormat/>
    <w:uiPriority w:val="99"/>
    <w:rPr>
      <w:kern w:val="2"/>
      <w:sz w:val="22"/>
      <w:szCs w:val="24"/>
      <w14:ligatures w14:val="standardContextual"/>
    </w:rPr>
  </w:style>
  <w:style w:type="character" w:customStyle="1" w:styleId="51">
    <w:name w:val="批注主题 字符"/>
    <w:basedOn w:val="50"/>
    <w:link w:val="21"/>
    <w:semiHidden/>
    <w:qFormat/>
    <w:uiPriority w:val="99"/>
    <w:rPr>
      <w:b/>
      <w:bCs/>
      <w:kern w:val="2"/>
      <w:sz w:val="22"/>
      <w:szCs w:val="24"/>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Version="6" StyleName="APA" SelectedStyle="\APASixthEditionOfficeOnline.xsl"/>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fc2cb6d9-f26d-4a04-a9c5-1d13e492478f</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EC99374</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a3ecfb0a-623f-4cae-bffe-5303d6951422</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1D3309B6</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c03555ee-6825-4478-ab12-ec99e2d2806e</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513F819A</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d7c560e9-bdde-432a-be6d-63400e7ba61a</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421C933D</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58ae9331-cd40-40ae-8252-c3f82bcf622d</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31FCC034</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0637aa22-b1d8-40b1-b0e5-fceeda3f439a</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7009721B</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30928bc1-e573-4fb5-88c1-ad541654c6df</errorID>
      <errorWord xmlns="http://schemas.wps.cn/vas-ai-hub/contract-review">长安静</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癸氟哌啶醇</item>
      </candidateList>
      <explain xmlns="http://schemas.wps.cn/vas-ai-hub/contract-review">医学名词[长安静]为不规范表述或旧称，其规范书面表述为[癸氟哌啶醇]。</explain>
      <paraID xmlns="http://schemas.wps.cn/vas-ai-hub/contract-review"> D2642FE</paraID>
      <start xmlns="http://schemas.wps.cn/vas-ai-hub/contract-review">267</start>
      <end xmlns="http://schemas.wps.cn/vas-ai-hub/contract-review">270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41d3316c-5c72-4e9c-adc3-4689bc6b2e43</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469ACD52</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d2ee56af-5924-414f-9312-ea9bde486dae</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795499EC</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e48f168d-96a5-4b37-89da-ef49b35a6687</errorID>
      <errorWord xmlns="http://schemas.wps.cn/vas-ai-hub/contract-review">必须要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必须</item>
      </candidateList>
      <explain xmlns="http://schemas.wps.cn/vas-ai-hub/contract-review"/>
      <paraID xmlns="http://schemas.wps.cn/vas-ai-hub/contract-review">3DA1E3A7</paraID>
      <start xmlns="http://schemas.wps.cn/vas-ai-hub/contract-review">226</start>
      <end xmlns="http://schemas.wps.cn/vas-ai-hub/contract-review">229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7bea2a97-d8dc-4874-a87f-9cab83f567d0</errorID>
      <errorWord xmlns="http://schemas.wps.cn/vas-ai-hub/contract-review">培育壮大新兴和未来产业</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培育壮大新兴产业和未来产业</item>
      </candidateList>
      <explain xmlns="http://schemas.wps.cn/vas-ai-hub/contract-review">词汇“培育壮大新兴产业和未来产业”在特定场景下为固定表述形式，请确认此处的“培育壮大新兴和未来产业”是否存在不当。</explain>
      <paraID xmlns="http://schemas.wps.cn/vas-ai-hub/contract-review">3DA1E3A7</paraID>
      <start xmlns="http://schemas.wps.cn/vas-ai-hub/contract-review">284</start>
      <end xmlns="http://schemas.wps.cn/vas-ai-hub/contract-review">295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319b0ed1-45b8-46a9-8bf0-7aeaa635ea99</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6A74D52</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2a7ad735-9fa5-44d5-a0b1-6b0dfc501118</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5968FAD0</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6c2ff709-7bde-4b1f-a210-3574dcdf5235</errorID>
      <errorWord xmlns="http://schemas.wps.cn/vas-ai-hub/contract-review">亟需</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亟须</item>
      </candidateList>
      <explain xmlns="http://schemas.wps.cn/vas-ai-hub/contract-review"/>
      <paraID xmlns="http://schemas.wps.cn/vas-ai-hub/contract-review">725466EC</paraID>
      <start xmlns="http://schemas.wps.cn/vas-ai-hub/contract-review">243</start>
      <end xmlns="http://schemas.wps.cn/vas-ai-hub/contract-review">245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c6e4434e-727c-4ede-90dd-979744d00d22</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3EF5A3A6</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0d2a51a2-fc9c-47ba-8b17-bda62487a97c</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7F948A0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d256e64b-3e4a-4a43-9734-90cabc360d0d</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70D2066A</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448fe528-106e-4cbb-b4dd-25fd475a0b46</errorID>
      <errorWord xmlns="http://schemas.wps.cn/vas-ai-hub/contract-review">研发自主权</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科研自主权</item>
      </candidateList>
      <explain xmlns="http://schemas.wps.cn/vas-ai-hub/contract-review">词汇“科研自主权”在特定场景下为固定表述形式，请确认此处的“研发自主权”是否存在不当。</explain>
      <paraID xmlns="http://schemas.wps.cn/vas-ai-hub/contract-review">444CF390</paraID>
      <start xmlns="http://schemas.wps.cn/vas-ai-hub/contract-review">145</start>
      <end xmlns="http://schemas.wps.cn/vas-ai-hub/contract-review">150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a79da2b3-ecd3-4bcb-8a9c-c08e2de345c0</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5728C5A2</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d0916c12-9de8-40d2-903e-e9d7fdf6d1d8</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2249372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d944d2a6-a2ab-4b10-8452-7e4b29988ada</errorID>
      <errorWord xmlns="http://schemas.wps.cn/vas-ai-hub/contract-review">智改数转网联</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“智改数转网联”</item>
      </candidateList>
      <explain xmlns="http://schemas.wps.cn/vas-ai-hub/contract-review">注意检查当前固定表述标点是否使用规范。</explain>
      <paraID xmlns="http://schemas.wps.cn/vas-ai-hub/contract-review"> 5964056</paraID>
      <start xmlns="http://schemas.wps.cn/vas-ai-hub/contract-review">40</start>
      <end xmlns="http://schemas.wps.cn/vas-ai-hub/contract-review">46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0d556f5b-ec0f-472c-9afb-4388b61890b1</errorID>
      <errorWord xmlns="http://schemas.wps.cn/vas-ai-hub/contract-review">融入到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融入</item>
      </candidateList>
      <explain xmlns="http://schemas.wps.cn/vas-ai-hub/contract-review"/>
      <paraID xmlns="http://schemas.wps.cn/vas-ai-hub/contract-review">1E6CAA47</paraID>
      <start xmlns="http://schemas.wps.cn/vas-ai-hub/contract-review">18</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ada6fcb8-fd52-4779-900e-2b01069c448e</errorID>
      <errorWord xmlns="http://schemas.wps.cn/vas-ai-hub/contract-review">资源要素集约利用</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资源节约集约利用</item>
      </candidateList>
      <explain xmlns="http://schemas.wps.cn/vas-ai-hub/contract-review">词汇“资源节约集约利用”在特定场景下为固定表述形式，请确认此处的“资源要素集约利用”是否存在不当。</explain>
      <paraID xmlns="http://schemas.wps.cn/vas-ai-hub/contract-review">2174A92A</paraID>
      <start xmlns="http://schemas.wps.cn/vas-ai-hub/contract-review">17</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08181af6-2756-430a-aa5a-6369f7811b43</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4A62C5D5</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e02a3989-4fba-42ce-b1a8-5dfb73f46107</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6E9A083F</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4c5672fb-d7ed-4847-bc56-cd3072ebf09a</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494F2D25</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bb1b9ae1-0e1f-419c-8ea4-927f1ed6bf59</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7C3384BF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1b000780-1c07-4396-a5e0-34c1f452fec3</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1ECD41D9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d5f0d11f-dc38-4f6e-a9c6-81a774b66bd1</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69905722</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3f921423-31f0-42a7-9212-2b9cb695bfaf</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7AEB4ABB</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faf4341f-a33d-4819-9c87-5166ba6826ee</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6E5BE2BD</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baad8194-445c-4921-b285-ab9568ea2e04</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3075E46B</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f386c7a0-7d29-4f85-9f12-4fae370a4939</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701ED566</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1cae5f33-5674-4a9d-ae21-077956214f0e</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5BBDEDC3</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e310df93-72a2-4b46-a10d-eca2083e6b3f</errorID>
      <errorWord xmlns="http://schemas.wps.cn/vas-ai-hub/contract-review">服务促制造</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服务型制造</item>
      </candidateList>
      <explain xmlns="http://schemas.wps.cn/vas-ai-hub/contract-review">词汇“服务型制造”在特定场景下为固定表述形式，请确认此处的“服务促制造”是否存在不当。</explain>
      <paraID xmlns="http://schemas.wps.cn/vas-ai-hub/contract-review">73CBEE47</paraID>
      <start xmlns="http://schemas.wps.cn/vas-ai-hub/contract-review">32</start>
      <end xmlns="http://schemas.wps.cn/vas-ai-hub/contract-review">37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2eedda7b-eebc-4f24-93c1-9a286868d23b</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2E1290CB</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a71ac809-e3b7-468b-94db-02249bcfb152</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32B53E70</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5067b298-b2ab-45a0-a7b5-cfcd75190949</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3B88FA47</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2a2ec0fc-9dd8-488f-81cb-b6e53be102c9</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6CDEF2EF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e512e860-4b22-41c5-a939-fe7d9101df4e</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5B0D3E28</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e1da151f-a1c3-478d-9cc2-3d31e4324648</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4388502D</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9fe86c7a-1937-49bf-b235-ef7ff5393bc3</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6969A7B1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2bab4475-ceed-490c-95d9-02acda337c52</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338DB450</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be80013d-2b78-488d-aaf2-f1c0ae84c442</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50319E8</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2508cbdf-422a-4899-b6e1-4b4f18da716e</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7AB42CEA</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7cb39034-747c-4ea9-aa03-b75606821387</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4BCD5BEA</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36f610dd-95b1-4e4e-b29c-6df1333785a1</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20B3A95D</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7837986e-3147-40eb-be61-cd17f9e4a04d</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3352B51F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0f4e4790-b797-48b3-8503-e848813661cb</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6C282189</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9c76da42-e8a4-4058-9188-7f75917a8d5a</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16D109AE</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60f39ace-3052-45e3-983a-6ec1aded4ae6</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1C3568D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47abb9a9-c4f8-4f81-aa81-7b2b75e9342c</errorID>
      <errorWord xmlns="http://schemas.wps.cn/vas-ai-hub/contract-review">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标</item>
      </candidateList>
      <explain xmlns="http://schemas.wps.cn/vas-ai-hub/contract-review"/>
      <paraID xmlns="http://schemas.wps.cn/vas-ai-hub/contract-review">2C5391F4</paraID>
      <start xmlns="http://schemas.wps.cn/vas-ai-hub/contract-review">231</start>
      <end xmlns="http://schemas.wps.cn/vas-ai-hub/contract-review">232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ef68dfa1-e87f-45fd-94f8-a6050c13c6b0</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400B0017</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d4811f70-a0ba-49bd-9b05-409486f7e04d</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3FC0504E</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20263691-7893-4e26-8c16-56e234ae4bd3</errorID>
      <errorWord xmlns="http://schemas.wps.cn/vas-ai-hub/contract-review">长安静</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癸氟哌啶醇</item>
      </candidateList>
      <explain xmlns="http://schemas.wps.cn/vas-ai-hub/contract-review">医学名词[长安静]为不规范表述或旧称，其规范书面表述为[癸氟哌啶醇]。</explain>
      <paraID xmlns="http://schemas.wps.cn/vas-ai-hub/contract-review">1E3CFE1D</paraID>
      <start xmlns="http://schemas.wps.cn/vas-ai-hub/contract-review">30</start>
      <end xmlns="http://schemas.wps.cn/vas-ai-hub/contract-review">33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c943a8f5-6646-4485-b634-0b4246fe2c3e</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29442FAD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27f9afc3-0a12-42db-a52e-f47ea33a6238</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5F45C99</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3c3f6acf-d29d-4c7d-912f-39ebb5f0def8</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7B1EB990</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d705cadb-b2dd-4d05-bb29-1ba927c35d15</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7ECF900B</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75f395ea-22e3-4460-93c1-40b6fce267ab</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5910E2C2</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d9ffdca0-ce32-49a1-8539-79278a43de3a</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36A215A6</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ffe4b811-cddf-44ca-888d-c734a58e4aa0</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7AC05FFC</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05730026-cf55-4b4d-af73-715dfc4fa032</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4A44AD54</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A7AC3615-5B6D-49D8-9001-556E02E0D966}">
  <ds:schemaRefs/>
</ds:datastoreItem>
</file>

<file path=customXml/itemProps2.xml><?xml version="1.0" encoding="utf-8"?>
<ds:datastoreItem xmlns:ds="http://schemas.openxmlformats.org/officeDocument/2006/customXml" ds:itemID="{5637AFBE-3C70-451C-8EDF-59F73C0C12CD}">
  <ds:schemaRefs/>
</ds:datastoreItem>
</file>

<file path=docProps/app.xml><?xml version="1.0" encoding="utf-8"?>
<Properties xmlns="http://schemas.openxmlformats.org/officeDocument/2006/extended-properties" xmlns:vt="http://schemas.openxmlformats.org/officeDocument/2006/docPropsVTypes">
  <Template>Normal</Template>
  <Pages>20</Pages>
  <Words>5150</Words>
  <Characters>5151</Characters>
  <Lines>245</Lines>
  <Paragraphs>127</Paragraphs>
  <TotalTime>97</TotalTime>
  <ScaleCrop>false</ScaleCrop>
  <LinksUpToDate>false</LinksUpToDate>
  <CharactersWithSpaces>10174</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2026-09-18T15:33:00Z</dcterms:created>
  <dc:creator>杰 陈</dc:creator>
  <cp:lastModifiedBy>user</cp:lastModifiedBy>
  <dcterms:modified xsi:type="dcterms:W3CDTF">2026-09-21T11:09:18Z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eyJoZGlkIjoiMWFhNmRjODM3YWQ4ZjM3ZmI0ZjYyYTI1ZDM1Yjc2ZTMiLCJ1c2VySWQiOiI5OTg2NjE5MjkifQ==</vt:lpwstr>
  </property>
  <property fmtid="{D5CDD505-2E9C-101B-9397-08002B2CF9AE}" pid="3" name="KSOProductBuildVer">
    <vt:lpwstr>2052-12.8.2.1119</vt:lpwstr>
  </property>
  <property fmtid="{D5CDD505-2E9C-101B-9397-08002B2CF9AE}" pid="4" name="ICV">
    <vt:lpwstr>5452A61DD5AE02F0DE9FB06A825BF058_43</vt:lpwstr>
  </property>
</Properties>
</file>