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EA31B">
      <w:pPr>
        <w:pStyle w:val="4"/>
        <w:widowControl/>
        <w:adjustRightInd w:val="0"/>
        <w:snapToGrid w:val="0"/>
        <w:spacing w:beforeAutospacing="0" w:afterAutospacing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新都区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2025-2026年度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个转企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”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财政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激励资金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分配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方案</w:t>
      </w:r>
    </w:p>
    <w:p w14:paraId="50DF74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0" w:firstLineChars="0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征求意见稿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）</w:t>
      </w:r>
    </w:p>
    <w:p w14:paraId="2D77305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0" w:firstLineChars="0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p w14:paraId="5F9FE3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根据成都市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财政局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《关于下达2025年省级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个转企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财政激励资金预算指标的通知》（成财环发〔2026〕45号）、《关于预下达2026年省级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个转企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财政激励资金预算指标的通知》（成财环发〔2026〕39号）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成都市市场监管局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《成都市市场监督管理局关于做好2025年、2026年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个转企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激励工作的通知》（成市监办〔2026〕168号）文件精神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为进一步鼓励、支持和引导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新都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区个体工商户转型升级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制定本方案。</w:t>
      </w:r>
    </w:p>
    <w:p w14:paraId="779E296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一、激励范围</w:t>
      </w:r>
    </w:p>
    <w:p w14:paraId="48C4AFB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596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-11"/>
          <w:sz w:val="32"/>
          <w:szCs w:val="32"/>
        </w:rPr>
        <w:t>2025年1月1日至2025年12月31日和2026</w:t>
      </w:r>
      <w:r>
        <w:rPr>
          <w:rFonts w:hint="default" w:ascii="Times New Roman" w:hAnsi="Times New Roman" w:eastAsia="方正仿宋简体" w:cs="Times New Roman"/>
          <w:spacing w:val="-12"/>
          <w:sz w:val="32"/>
          <w:szCs w:val="32"/>
        </w:rPr>
        <w:t>年1月1日</w:t>
      </w:r>
      <w:r>
        <w:rPr>
          <w:rFonts w:hint="default" w:ascii="Times New Roman" w:hAnsi="Times New Roman" w:eastAsia="方正仿宋简体" w:cs="Times New Roman"/>
          <w:spacing w:val="2"/>
          <w:sz w:val="32"/>
          <w:szCs w:val="32"/>
        </w:rPr>
        <w:t>至2026年12月31日期间</w:t>
      </w:r>
      <w:r>
        <w:rPr>
          <w:rFonts w:hint="eastAsia" w:ascii="Times New Roman" w:hAnsi="Times New Roman" w:eastAsia="方正仿宋简体" w:cs="Times New Roman"/>
          <w:spacing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2"/>
          <w:sz w:val="32"/>
          <w:szCs w:val="32"/>
        </w:rPr>
        <w:t>在成都市</w:t>
      </w:r>
      <w:r>
        <w:rPr>
          <w:rFonts w:hint="eastAsia" w:ascii="Times New Roman" w:hAnsi="Times New Roman" w:eastAsia="方正仿宋简体" w:cs="Times New Roman"/>
          <w:spacing w:val="2"/>
          <w:sz w:val="32"/>
          <w:szCs w:val="32"/>
          <w:lang w:val="en-US" w:eastAsia="zh-CN"/>
        </w:rPr>
        <w:t>新都</w:t>
      </w:r>
      <w:r>
        <w:rPr>
          <w:rFonts w:hint="default" w:ascii="Times New Roman" w:hAnsi="Times New Roman" w:eastAsia="方正仿宋简体" w:cs="Times New Roman"/>
          <w:spacing w:val="2"/>
          <w:sz w:val="32"/>
          <w:szCs w:val="32"/>
        </w:rPr>
        <w:t>区实际管辖区域内由</w:t>
      </w:r>
      <w:r>
        <w:rPr>
          <w:rFonts w:hint="default" w:ascii="Times New Roman" w:hAnsi="Times New Roman" w:eastAsia="方正仿宋简体" w:cs="Times New Roman"/>
          <w:spacing w:val="8"/>
          <w:sz w:val="32"/>
          <w:szCs w:val="32"/>
        </w:rPr>
        <w:t>个体工商户转型升级为公司制企业（不含转型为个人独资企业、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合伙企业等非公司制企业）的经营主体。</w:t>
      </w:r>
    </w:p>
    <w:p w14:paraId="5F65116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二、激励标准</w:t>
      </w:r>
    </w:p>
    <w:p w14:paraId="7B05829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76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9"/>
          <w:position w:val="4"/>
          <w:sz w:val="32"/>
          <w:szCs w:val="32"/>
        </w:rPr>
        <w:t>激励标准为每户一次性兑付激励资金0.6万元。</w:t>
      </w:r>
    </w:p>
    <w:p w14:paraId="5EE0BF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0" w:firstLineChars="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  <w:sectPr>
          <w:footerReference r:id="rId3" w:type="default"/>
          <w:pgSz w:w="11906" w:h="16839"/>
          <w:pgMar w:top="1440" w:right="1803" w:bottom="1440" w:left="1803" w:header="0" w:footer="1437" w:gutter="0"/>
          <w:cols w:space="720" w:num="1"/>
          <w:rtlGutter w:val="0"/>
        </w:sectPr>
      </w:pPr>
    </w:p>
    <w:p w14:paraId="06B7C1E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三、激励条件</w:t>
      </w:r>
    </w:p>
    <w:p w14:paraId="1A69EB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（一）转型企业同时符合以下条件的</w:t>
      </w: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给予激励</w:t>
      </w:r>
    </w:p>
    <w:p w14:paraId="64ECF07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1.转型时间在2025年1月1日至2026年12月31日期间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且转型为公司制企业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40D1811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2.企业处于存续状态且生存期不少于2个月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税务登记状态正常或已完成社会保险参保登记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136295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3.有企业对公账户。</w:t>
      </w:r>
    </w:p>
    <w:p w14:paraId="3872949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（二）转型企业存在以下情形之一的</w:t>
      </w: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不予激励</w:t>
      </w:r>
    </w:p>
    <w:p w14:paraId="3D22E3A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64" w:firstLineChars="200"/>
        <w:jc w:val="both"/>
        <w:textAlignment w:val="auto"/>
        <w:rPr>
          <w:rFonts w:hint="eastAsia" w:ascii="Times New Roman" w:hAnsi="Times New Roman" w:eastAsia="方正仿宋简体" w:cs="Times New Roman"/>
          <w:spacing w:val="6"/>
          <w:position w:val="4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6"/>
          <w:position w:val="4"/>
          <w:sz w:val="32"/>
          <w:szCs w:val="32"/>
        </w:rPr>
        <w:t>1.被吊销营业执照、责令关闭或撤销登记</w:t>
      </w:r>
      <w:r>
        <w:rPr>
          <w:rFonts w:hint="eastAsia" w:ascii="Times New Roman" w:hAnsi="Times New Roman" w:eastAsia="方正仿宋简体" w:cs="Times New Roman"/>
          <w:spacing w:val="6"/>
          <w:position w:val="4"/>
          <w:sz w:val="32"/>
          <w:szCs w:val="32"/>
          <w:lang w:eastAsia="zh-CN"/>
        </w:rPr>
        <w:t>；</w:t>
      </w:r>
    </w:p>
    <w:p w14:paraId="509D797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64" w:firstLineChars="200"/>
        <w:jc w:val="both"/>
        <w:textAlignment w:val="auto"/>
        <w:rPr>
          <w:rFonts w:hint="eastAsia" w:ascii="Times New Roman" w:hAnsi="Times New Roman" w:eastAsia="方正仿宋简体" w:cs="Times New Roman"/>
          <w:spacing w:val="6"/>
          <w:position w:val="4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6"/>
          <w:position w:val="4"/>
          <w:sz w:val="32"/>
          <w:szCs w:val="32"/>
        </w:rPr>
        <w:t>2.被列入经营异常名录或严重违法失信名单且未完成信用修复</w:t>
      </w:r>
      <w:r>
        <w:rPr>
          <w:rFonts w:hint="eastAsia" w:ascii="Times New Roman" w:hAnsi="Times New Roman" w:eastAsia="方正仿宋简体" w:cs="Times New Roman"/>
          <w:spacing w:val="6"/>
          <w:position w:val="4"/>
          <w:sz w:val="32"/>
          <w:szCs w:val="32"/>
          <w:lang w:eastAsia="zh-CN"/>
        </w:rPr>
        <w:t>；</w:t>
      </w:r>
    </w:p>
    <w:p w14:paraId="7973B49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64" w:firstLineChars="200"/>
        <w:jc w:val="both"/>
        <w:textAlignment w:val="auto"/>
        <w:rPr>
          <w:rFonts w:hint="default" w:ascii="Times New Roman" w:hAnsi="Times New Roman" w:eastAsia="方正仿宋简体" w:cs="Times New Roman"/>
          <w:spacing w:val="6"/>
          <w:position w:val="4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position w:val="4"/>
          <w:sz w:val="32"/>
          <w:szCs w:val="32"/>
        </w:rPr>
        <w:t>3.同一自然人投资者同一年内在本区（市）县有多户转型企业</w:t>
      </w:r>
      <w:r>
        <w:rPr>
          <w:rFonts w:hint="eastAsia" w:ascii="Times New Roman" w:hAnsi="Times New Roman" w:eastAsia="方正仿宋简体" w:cs="Times New Roman"/>
          <w:spacing w:val="6"/>
          <w:position w:val="4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6"/>
          <w:position w:val="4"/>
          <w:sz w:val="32"/>
          <w:szCs w:val="32"/>
        </w:rPr>
        <w:t>仅激励其中一户。</w:t>
      </w:r>
    </w:p>
    <w:p w14:paraId="04B004F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（三）转型企业存在以下情形的</w:t>
      </w: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整改后纳入激励范围</w:t>
      </w:r>
    </w:p>
    <w:p w14:paraId="30A4042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68" w:firstLineChars="2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7"/>
          <w:sz w:val="32"/>
          <w:szCs w:val="32"/>
        </w:rPr>
        <w:t>1.被列入经营异常名录或严重违法失信名单</w:t>
      </w:r>
      <w:r>
        <w:rPr>
          <w:rFonts w:hint="eastAsia" w:ascii="Times New Roman" w:hAnsi="Times New Roman" w:eastAsia="方正仿宋简体" w:cs="Times New Roman"/>
          <w:spacing w:val="7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7"/>
          <w:sz w:val="32"/>
          <w:szCs w:val="32"/>
        </w:rPr>
        <w:t>以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及税务登记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状态或社保参保状态非正常的</w:t>
      </w:r>
      <w:r>
        <w:rPr>
          <w:rFonts w:hint="eastAsia" w:ascii="Times New Roman" w:hAnsi="Times New Roman" w:eastAsia="方正仿宋简体" w:cs="Times New Roman"/>
          <w:spacing w:val="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经区市场监管局提醒后</w:t>
      </w:r>
      <w:r>
        <w:rPr>
          <w:rFonts w:hint="eastAsia" w:ascii="Times New Roman" w:hAnsi="Times New Roman" w:eastAsia="方正仿宋简体" w:cs="Times New Roman"/>
          <w:spacing w:val="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在</w:t>
      </w:r>
      <w:r>
        <w:rPr>
          <w:rFonts w:hint="eastAsia" w:ascii="Times New Roman" w:hAnsi="Times New Roman" w:eastAsia="方正仿宋简体" w:cs="Times New Roman"/>
          <w:spacing w:val="5"/>
          <w:sz w:val="32"/>
          <w:szCs w:val="32"/>
          <w:lang w:val="en-US" w:eastAsia="zh-CN"/>
        </w:rPr>
        <w:t>审查结果公示</w:t>
      </w:r>
      <w:r>
        <w:rPr>
          <w:rFonts w:hint="default" w:ascii="Times New Roman" w:hAnsi="Times New Roman" w:eastAsia="方正仿宋简体" w:cs="Times New Roman"/>
          <w:spacing w:val="7"/>
          <w:sz w:val="32"/>
          <w:szCs w:val="32"/>
        </w:rPr>
        <w:t>前恢复正常状态</w:t>
      </w:r>
      <w:r>
        <w:rPr>
          <w:rFonts w:hint="eastAsia" w:ascii="Times New Roman" w:hAnsi="Times New Roman" w:eastAsia="方正仿宋简体" w:cs="Times New Roman"/>
          <w:spacing w:val="7"/>
          <w:sz w:val="32"/>
          <w:szCs w:val="32"/>
          <w:lang w:eastAsia="zh-CN"/>
        </w:rPr>
        <w:t>；</w:t>
      </w:r>
    </w:p>
    <w:p w14:paraId="11067F8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72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8"/>
          <w:sz w:val="32"/>
          <w:szCs w:val="32"/>
        </w:rPr>
        <w:t>2.未开设企业对公账户</w:t>
      </w:r>
      <w:r>
        <w:rPr>
          <w:rFonts w:hint="eastAsia" w:ascii="Times New Roman" w:hAnsi="Times New Roman" w:eastAsia="方正仿宋简体" w:cs="Times New Roman"/>
          <w:spacing w:val="8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8"/>
          <w:sz w:val="32"/>
          <w:szCs w:val="32"/>
        </w:rPr>
        <w:t>经区市场监管局提醒后</w:t>
      </w:r>
      <w:r>
        <w:rPr>
          <w:rFonts w:hint="eastAsia" w:ascii="Times New Roman" w:hAnsi="Times New Roman" w:eastAsia="方正仿宋简体" w:cs="Times New Roman"/>
          <w:spacing w:val="8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7"/>
          <w:sz w:val="32"/>
          <w:szCs w:val="32"/>
        </w:rPr>
        <w:t>在审查结果公示前提供企业对公账户。</w:t>
      </w:r>
    </w:p>
    <w:p w14:paraId="4CF8FEC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（四）转型企业迁出辖区的激励原则</w:t>
      </w:r>
    </w:p>
    <w:p w14:paraId="38D48A5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1.已迁出成都市实际管辖区域的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不予激励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2B77438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2.在成都市范围内跨区迁移的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由区政务服务和审批局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核实名单后报区市场监管局进行激励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。</w:t>
      </w:r>
    </w:p>
    <w:p w14:paraId="0185EFE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四、激励方式</w:t>
      </w:r>
    </w:p>
    <w:p w14:paraId="01B216E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28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按照</w:t>
      </w:r>
      <w:r>
        <w:rPr>
          <w:rFonts w:hint="eastAsia" w:ascii="Times New Roman" w:hAnsi="Times New Roman" w:eastAsia="方正仿宋简体" w:cs="Times New Roman"/>
          <w:spacing w:val="-3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免申即享</w:t>
      </w:r>
      <w:r>
        <w:rPr>
          <w:rFonts w:hint="eastAsia" w:ascii="Times New Roman" w:hAnsi="Times New Roman" w:eastAsia="方正仿宋简体" w:cs="Times New Roman"/>
          <w:spacing w:val="-3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原则</w:t>
      </w:r>
      <w:r>
        <w:rPr>
          <w:rFonts w:hint="eastAsia" w:ascii="Times New Roman" w:hAnsi="Times New Roman" w:eastAsia="方正仿宋简体" w:cs="Times New Roman"/>
          <w:spacing w:val="-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</w:rPr>
        <w:t>符合条件的企业无需主动提</w:t>
      </w:r>
      <w:r>
        <w:rPr>
          <w:rFonts w:hint="default" w:ascii="Times New Roman" w:hAnsi="Times New Roman" w:eastAsia="方正仿宋简体" w:cs="Times New Roman"/>
          <w:spacing w:val="-4"/>
          <w:sz w:val="32"/>
          <w:szCs w:val="32"/>
        </w:rPr>
        <w:t>交申请</w:t>
      </w:r>
      <w:r>
        <w:rPr>
          <w:rFonts w:hint="eastAsia" w:ascii="Times New Roman" w:hAnsi="Times New Roman" w:eastAsia="方正仿宋简体" w:cs="Times New Roman"/>
          <w:spacing w:val="-4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7"/>
          <w:sz w:val="32"/>
          <w:szCs w:val="32"/>
        </w:rPr>
        <w:t>由区市场监管局将激励资金直接支付至企业对公账户。</w:t>
      </w:r>
    </w:p>
    <w:p w14:paraId="49B6692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五、兑付程序</w:t>
      </w:r>
    </w:p>
    <w:p w14:paraId="5B698C5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（一）启动阶段</w:t>
      </w:r>
    </w:p>
    <w:p w14:paraId="03C5FB8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52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3"/>
          <w:sz w:val="32"/>
          <w:szCs w:val="32"/>
        </w:rPr>
        <w:t>区市场监管局制定资金兑付方案</w:t>
      </w:r>
      <w:r>
        <w:rPr>
          <w:rFonts w:hint="eastAsia" w:ascii="Times New Roman" w:hAnsi="Times New Roman" w:eastAsia="方正仿宋简体" w:cs="Times New Roman"/>
          <w:spacing w:val="3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3"/>
          <w:sz w:val="32"/>
          <w:szCs w:val="32"/>
        </w:rPr>
        <w:t>通过成都市</w:t>
      </w:r>
      <w:r>
        <w:rPr>
          <w:rFonts w:hint="eastAsia" w:ascii="Times New Roman" w:hAnsi="Times New Roman" w:eastAsia="方正仿宋简体" w:cs="Times New Roman"/>
          <w:spacing w:val="3"/>
          <w:sz w:val="32"/>
          <w:szCs w:val="32"/>
          <w:lang w:val="en-US" w:eastAsia="zh-CN"/>
        </w:rPr>
        <w:t>新都区</w:t>
      </w:r>
      <w:r>
        <w:rPr>
          <w:rFonts w:hint="default" w:ascii="Times New Roman" w:hAnsi="Times New Roman" w:eastAsia="方正仿宋简体" w:cs="Times New Roman"/>
          <w:spacing w:val="3"/>
          <w:sz w:val="32"/>
          <w:szCs w:val="32"/>
        </w:rPr>
        <w:t>人民政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府门户网站公开征求区级相关部门和社会意见</w:t>
      </w:r>
      <w:r>
        <w:rPr>
          <w:rFonts w:hint="eastAsia" w:ascii="Times New Roman" w:hAnsi="Times New Roman" w:eastAsia="方正仿宋简体" w:cs="Times New Roman"/>
          <w:spacing w:val="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征求意见时间不</w:t>
      </w:r>
      <w:r>
        <w:rPr>
          <w:rFonts w:hint="default" w:ascii="Times New Roman" w:hAnsi="Times New Roman" w:eastAsia="方正仿宋简体" w:cs="Times New Roman"/>
          <w:spacing w:val="10"/>
          <w:sz w:val="32"/>
          <w:szCs w:val="32"/>
        </w:rPr>
        <w:t>少于30日。结合收到的意见建议进行修订完善</w:t>
      </w:r>
      <w:r>
        <w:rPr>
          <w:rFonts w:hint="eastAsia" w:ascii="Times New Roman" w:hAnsi="Times New Roman" w:eastAsia="方正仿宋简体" w:cs="Times New Roman"/>
          <w:spacing w:val="1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10"/>
          <w:sz w:val="32"/>
          <w:szCs w:val="32"/>
        </w:rPr>
        <w:t>经局党组审定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后正式印发实施。</w:t>
      </w:r>
      <w:bookmarkStart w:id="0" w:name="_GoBack"/>
      <w:bookmarkEnd w:id="0"/>
    </w:p>
    <w:p w14:paraId="3B40B8C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（二）审查阶段</w:t>
      </w:r>
    </w:p>
    <w:p w14:paraId="0E3EBF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4" w:firstLineChars="200"/>
        <w:jc w:val="both"/>
        <w:textAlignment w:val="auto"/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1.区政务服务和审批局提供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val="en-US" w:eastAsia="zh-CN"/>
        </w:rPr>
        <w:t>新都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区辖区内2025年1月1日至2026年12月31日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个转企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企业名单（2026年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月1日至2026年12月31日期间的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个转企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名单于</w:t>
      </w:r>
      <w:r>
        <w:rPr>
          <w:rFonts w:hint="default" w:ascii="Times New Roman" w:hAnsi="Times New Roman" w:eastAsia="方正仿宋简体" w:cs="Times New Roman"/>
          <w:color w:val="auto"/>
          <w:spacing w:val="1"/>
          <w:sz w:val="32"/>
          <w:szCs w:val="32"/>
        </w:rPr>
        <w:t>2027年</w:t>
      </w:r>
      <w:r>
        <w:rPr>
          <w:rFonts w:hint="eastAsia" w:ascii="Times New Roman" w:hAnsi="Times New Roman" w:eastAsia="方正仿宋简体" w:cs="Times New Roman"/>
          <w:color w:val="auto"/>
          <w:spacing w:val="1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color w:val="auto"/>
          <w:spacing w:val="1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color w:val="auto"/>
          <w:spacing w:val="1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简体" w:cs="Times New Roman"/>
          <w:color w:val="auto"/>
          <w:spacing w:val="1"/>
          <w:sz w:val="32"/>
          <w:szCs w:val="32"/>
        </w:rPr>
        <w:t>日</w:t>
      </w:r>
      <w:r>
        <w:rPr>
          <w:rFonts w:hint="eastAsia" w:ascii="Times New Roman" w:hAnsi="Times New Roman" w:eastAsia="方正仿宋简体" w:cs="Times New Roman"/>
          <w:color w:val="auto"/>
          <w:spacing w:val="1"/>
          <w:sz w:val="32"/>
          <w:szCs w:val="32"/>
          <w:lang w:val="en-US" w:eastAsia="zh-CN"/>
        </w:rPr>
        <w:t>后7个工作日内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提供）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；</w:t>
      </w:r>
    </w:p>
    <w:p w14:paraId="3FDD72E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4" w:firstLineChars="200"/>
        <w:jc w:val="both"/>
        <w:textAlignment w:val="auto"/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2.区市场监管局联合区人社局、区税务局依据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个转企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名单对企业税务信息确认和社保参保登记情况进行核实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；</w:t>
      </w:r>
    </w:p>
    <w:p w14:paraId="7A7BF50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4" w:firstLineChars="200"/>
        <w:jc w:val="both"/>
        <w:textAlignment w:val="auto"/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3.区市场监管局根据前述经核实符合发放条件的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个转企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名单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1"/>
          <w:sz w:val="32"/>
          <w:szCs w:val="32"/>
        </w:rPr>
        <w:t>及时联系并提醒相关企业办理税务、社保、对公账户等相关手续</w:t>
      </w:r>
      <w:r>
        <w:rPr>
          <w:rFonts w:hint="eastAsia" w:ascii="Times New Roman" w:hAnsi="Times New Roman" w:eastAsia="方正仿宋简体" w:cs="Times New Roman"/>
          <w:spacing w:val="1"/>
          <w:sz w:val="32"/>
          <w:szCs w:val="32"/>
          <w:lang w:eastAsia="zh-CN"/>
        </w:rPr>
        <w:t>。</w:t>
      </w:r>
    </w:p>
    <w:p w14:paraId="619BAF2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（三）公示阶段</w:t>
      </w:r>
    </w:p>
    <w:p w14:paraId="40B699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0" w:firstLineChars="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  <w:sectPr>
          <w:footerReference r:id="rId4" w:type="default"/>
          <w:pgSz w:w="11906" w:h="16839"/>
          <w:pgMar w:top="1440" w:right="1803" w:bottom="1440" w:left="1803" w:header="0" w:footer="1439" w:gutter="0"/>
          <w:cols w:space="720" w:num="1"/>
          <w:rtlGutter w:val="0"/>
        </w:sectPr>
      </w:pPr>
    </w:p>
    <w:p w14:paraId="3E734EE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96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14"/>
          <w:sz w:val="32"/>
          <w:szCs w:val="32"/>
        </w:rPr>
        <w:t>审查结果于成都市</w:t>
      </w:r>
      <w:r>
        <w:rPr>
          <w:rFonts w:hint="eastAsia" w:ascii="Times New Roman" w:hAnsi="Times New Roman" w:eastAsia="方正仿宋简体" w:cs="Times New Roman"/>
          <w:spacing w:val="14"/>
          <w:sz w:val="32"/>
          <w:szCs w:val="32"/>
          <w:lang w:val="en-US" w:eastAsia="zh-CN"/>
        </w:rPr>
        <w:t>新都</w:t>
      </w:r>
      <w:r>
        <w:rPr>
          <w:rFonts w:hint="default" w:ascii="Times New Roman" w:hAnsi="Times New Roman" w:eastAsia="方正仿宋简体" w:cs="Times New Roman"/>
          <w:spacing w:val="14"/>
          <w:sz w:val="32"/>
          <w:szCs w:val="32"/>
        </w:rPr>
        <w:t>区人民政府门户网站公示5个工作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日。公示期有异议且经核查不符合申报条件的</w:t>
      </w:r>
      <w:r>
        <w:rPr>
          <w:rFonts w:hint="eastAsia" w:ascii="Times New Roman" w:hAnsi="Times New Roman" w:eastAsia="方正仿宋简体" w:cs="Times New Roman"/>
          <w:spacing w:val="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不予兑付激励资</w:t>
      </w:r>
      <w:r>
        <w:rPr>
          <w:rFonts w:hint="default" w:ascii="Times New Roman" w:hAnsi="Times New Roman" w:eastAsia="方正仿宋简体" w:cs="Times New Roman"/>
          <w:spacing w:val="-7"/>
          <w:sz w:val="32"/>
          <w:szCs w:val="32"/>
        </w:rPr>
        <w:t>金。</w:t>
      </w:r>
    </w:p>
    <w:p w14:paraId="6BF3CCB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（四）发放阶段</w:t>
      </w:r>
    </w:p>
    <w:p w14:paraId="0A2520C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6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区市场监督管理局结合审查、公示情况</w:t>
      </w:r>
      <w:r>
        <w:rPr>
          <w:rFonts w:hint="eastAsia" w:ascii="Times New Roman" w:hAnsi="Times New Roman" w:eastAsia="方正仿宋简体" w:cs="Times New Roman"/>
          <w:spacing w:val="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经局党组审定后</w:t>
      </w:r>
      <w:r>
        <w:rPr>
          <w:rFonts w:hint="eastAsia" w:ascii="Times New Roman" w:hAnsi="Times New Roman" w:eastAsia="方正仿宋简体" w:cs="Times New Roman"/>
          <w:spacing w:val="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分批次发放激励资金：2025年度</w:t>
      </w:r>
      <w:r>
        <w:rPr>
          <w:rFonts w:hint="eastAsia" w:ascii="Times New Roman" w:hAnsi="Times New Roman" w:eastAsia="方正仿宋简体" w:cs="Times New Roman"/>
          <w:spacing w:val="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个转企</w:t>
      </w:r>
      <w:r>
        <w:rPr>
          <w:rFonts w:hint="eastAsia" w:ascii="Times New Roman" w:hAnsi="Times New Roman" w:eastAsia="方正仿宋简体" w:cs="Times New Roman"/>
          <w:spacing w:val="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激励资金于2026年</w:t>
      </w:r>
      <w:r>
        <w:rPr>
          <w:rFonts w:hint="default" w:ascii="Times New Roman" w:hAnsi="Times New Roman" w:eastAsia="方正仿宋简体" w:cs="Times New Roman"/>
          <w:spacing w:val="12"/>
          <w:sz w:val="32"/>
          <w:szCs w:val="32"/>
        </w:rPr>
        <w:t>底前完成兑付</w:t>
      </w:r>
      <w:r>
        <w:rPr>
          <w:rFonts w:hint="eastAsia" w:ascii="Times New Roman" w:hAnsi="Times New Roman" w:eastAsia="方正仿宋简体" w:cs="Times New Roman"/>
          <w:spacing w:val="1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12"/>
          <w:sz w:val="32"/>
          <w:szCs w:val="32"/>
        </w:rPr>
        <w:t>2026年度</w:t>
      </w:r>
      <w:r>
        <w:rPr>
          <w:rFonts w:hint="eastAsia" w:ascii="Times New Roman" w:hAnsi="Times New Roman" w:eastAsia="方正仿宋简体" w:cs="Times New Roman"/>
          <w:spacing w:val="1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pacing w:val="12"/>
          <w:sz w:val="32"/>
          <w:szCs w:val="32"/>
        </w:rPr>
        <w:t>个转企</w:t>
      </w:r>
      <w:r>
        <w:rPr>
          <w:rFonts w:hint="eastAsia" w:ascii="Times New Roman" w:hAnsi="Times New Roman" w:eastAsia="方正仿宋简体" w:cs="Times New Roman"/>
          <w:spacing w:val="1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pacing w:val="12"/>
          <w:sz w:val="32"/>
          <w:szCs w:val="32"/>
        </w:rPr>
        <w:t>激励资金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于2027年底前完成兑付。</w:t>
      </w:r>
    </w:p>
    <w:p w14:paraId="2FC5BE7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六、其他事项</w:t>
      </w:r>
    </w:p>
    <w:p w14:paraId="1E9C1BD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64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（一）以虚报、冒领等手段骗取激励资金</w:t>
      </w:r>
      <w:r>
        <w:rPr>
          <w:rFonts w:hint="eastAsia" w:ascii="Times New Roman" w:hAnsi="Times New Roman" w:eastAsia="方正仿宋简体" w:cs="Times New Roman"/>
          <w:spacing w:val="6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截留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、挤占、挪</w:t>
      </w:r>
      <w:r>
        <w:rPr>
          <w:rFonts w:hint="default" w:ascii="Times New Roman" w:hAnsi="Times New Roman" w:eastAsia="方正仿宋简体" w:cs="Times New Roman"/>
          <w:spacing w:val="8"/>
          <w:sz w:val="32"/>
          <w:szCs w:val="32"/>
        </w:rPr>
        <w:t>用激励资金</w:t>
      </w:r>
      <w:r>
        <w:rPr>
          <w:rFonts w:hint="eastAsia" w:ascii="Times New Roman" w:hAnsi="Times New Roman" w:eastAsia="方正仿宋简体" w:cs="Times New Roman"/>
          <w:spacing w:val="8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8"/>
          <w:sz w:val="32"/>
          <w:szCs w:val="32"/>
        </w:rPr>
        <w:t>依法追究相关单位和人员责任。</w:t>
      </w:r>
    </w:p>
    <w:p w14:paraId="7112F87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664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（二）本方案实施未委托任何中介机构代理</w:t>
      </w:r>
      <w:r>
        <w:rPr>
          <w:rFonts w:hint="eastAsia" w:ascii="Times New Roman" w:hAnsi="Times New Roman" w:eastAsia="方正仿宋简体" w:cs="Times New Roman"/>
          <w:spacing w:val="6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不向企</w:t>
      </w:r>
      <w:r>
        <w:rPr>
          <w:rFonts w:hint="default" w:ascii="Times New Roman" w:hAnsi="Times New Roman" w:eastAsia="方正仿宋简体" w:cs="Times New Roman"/>
          <w:spacing w:val="5"/>
          <w:sz w:val="32"/>
          <w:szCs w:val="32"/>
        </w:rPr>
        <w:t>业收取</w:t>
      </w:r>
      <w:r>
        <w:rPr>
          <w:rFonts w:hint="default" w:ascii="Times New Roman" w:hAnsi="Times New Roman" w:eastAsia="方正仿宋简体" w:cs="Times New Roman"/>
          <w:spacing w:val="3"/>
          <w:sz w:val="32"/>
          <w:szCs w:val="32"/>
        </w:rPr>
        <w:t>任何费用。</w:t>
      </w:r>
    </w:p>
    <w:p w14:paraId="6D641AC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right="0" w:firstLine="0" w:firstLineChars="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sectPr>
      <w:pgSz w:w="11906" w:h="16838"/>
      <w:pgMar w:top="1440" w:right="1803" w:bottom="1440" w:left="1803" w:header="851" w:footer="992" w:gutter="0"/>
      <w:cols w:space="425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10A8F">
    <w:pPr>
      <w:spacing w:before="1" w:line="235" w:lineRule="auto"/>
      <w:ind w:left="743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F8A69">
    <w:pPr>
      <w:spacing w:line="234" w:lineRule="auto"/>
      <w:ind w:left="743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—3—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F25D0A"/>
    <w:rsid w:val="01CE1E26"/>
    <w:rsid w:val="053E6A9B"/>
    <w:rsid w:val="0B50723E"/>
    <w:rsid w:val="0B8440F0"/>
    <w:rsid w:val="0FD57F70"/>
    <w:rsid w:val="10F31320"/>
    <w:rsid w:val="11AC7198"/>
    <w:rsid w:val="20B55249"/>
    <w:rsid w:val="2C8526D3"/>
    <w:rsid w:val="30E710D3"/>
    <w:rsid w:val="3529097C"/>
    <w:rsid w:val="39012206"/>
    <w:rsid w:val="4C5262FD"/>
    <w:rsid w:val="5C334CCE"/>
    <w:rsid w:val="5EC92704"/>
    <w:rsid w:val="64C00105"/>
    <w:rsid w:val="6C5362A0"/>
    <w:rsid w:val="72F2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1335</Words>
  <Characters>1440</Characters>
  <Lines>0</Lines>
  <Paragraphs>0</Paragraphs>
  <TotalTime>6</TotalTime>
  <ScaleCrop>false</ScaleCrop>
  <LinksUpToDate>false</LinksUpToDate>
  <CharactersWithSpaces>1440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2026-09-01T06:30:00Z</dcterms:created>
  <dc:creator>区市场监管局</dc:creator>
  <cp:lastModifiedBy>区市场监管局</cp:lastModifiedBy>
  <dcterms:modified xsi:type="dcterms:W3CDTF">2026-09-03T03:20:52Z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8831592D26C04245BBD6B588B0EE379F_13</vt:lpwstr>
  </property>
  <property fmtid="{D5CDD505-2E9C-101B-9397-08002B2CF9AE}" pid="4" name="KSOTemplateDocerSaveRecord">
    <vt:lpwstr>eyJoZGlkIjoiZWYwYWFhMzY5YjRkZmJjMGRhMTJkNWFlNDVjZGYwZjAiLCJ1c2VySWQiOiIxNjQ5NDkyOTg2In0=</vt:lpwstr>
  </property>
</Properties>
</file>