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A1B2E4">
      <w:pPr>
        <w:autoSpaceDE w:val="0"/>
        <w:spacing w:line="560" w:lineRule="exact"/>
        <w:rPr>
          <w:rFonts w:eastAsia="方正黑体_GBK"/>
          <w:kern w:val="0"/>
        </w:rPr>
      </w:pPr>
      <w:r>
        <w:rPr>
          <w:rFonts w:ascii="方正黑体_GBK" w:eastAsia="方正黑体_GBK"/>
          <w:kern w:val="0"/>
        </w:rPr>
        <w:t>附件</w:t>
      </w:r>
    </w:p>
    <w:p w14:paraId="67ED295D">
      <w:pPr>
        <w:spacing w:line="600" w:lineRule="exact"/>
        <w:rPr>
          <w:rFonts w:eastAsia="方正仿宋_GBK"/>
        </w:rPr>
      </w:pPr>
      <w:r>
        <w:rPr>
          <w:rFonts w:eastAsia="方正黑体_GBK"/>
        </w:rPr>
        <w:t xml:space="preserve"> </w:t>
      </w:r>
    </w:p>
    <w:p w14:paraId="3B2D15B4">
      <w:pPr>
        <w:spacing w:line="590" w:lineRule="exact"/>
        <w:jc w:val="center"/>
        <w:rPr>
          <w:rFonts w:ascii="方正小标宋_GBK" w:hAnsi="方正小标宋_GBK" w:eastAsia="方正小标宋_GBK"/>
          <w:sz w:val="44"/>
          <w:szCs w:val="44"/>
        </w:rPr>
      </w:pPr>
      <w:r>
        <w:rPr>
          <w:rFonts w:hint="eastAsia" w:ascii="方正小标宋_GBK" w:hAnsi="方正小标宋_GBK" w:eastAsia="方正小标宋_GBK"/>
          <w:sz w:val="44"/>
          <w:szCs w:val="44"/>
        </w:rPr>
        <w:t>成都市市级城乡社区发展治理激励</w:t>
      </w:r>
    </w:p>
    <w:p w14:paraId="04AC4BFA">
      <w:pPr>
        <w:spacing w:line="590" w:lineRule="exact"/>
        <w:jc w:val="center"/>
        <w:rPr>
          <w:rFonts w:hint="eastAsia" w:ascii="方正小标宋_GBK" w:hAnsi="方正小标宋_GBK" w:eastAsia="方正小标宋_GBK"/>
          <w:sz w:val="44"/>
          <w:szCs w:val="44"/>
        </w:rPr>
      </w:pPr>
      <w:r>
        <w:rPr>
          <w:rFonts w:hint="eastAsia" w:ascii="方正小标宋_GBK" w:hAnsi="方正小标宋_GBK" w:eastAsia="方正小标宋_GBK"/>
          <w:sz w:val="44"/>
          <w:szCs w:val="44"/>
        </w:rPr>
        <w:t>专项资金管理办法</w:t>
      </w:r>
    </w:p>
    <w:p w14:paraId="0356ECC5">
      <w:pPr>
        <w:spacing w:line="560" w:lineRule="exact"/>
        <w:jc w:val="center"/>
        <w:rPr>
          <w:rFonts w:hint="eastAsia" w:ascii="方正黑体_GBK" w:eastAsia="方正黑体_GBK"/>
        </w:rPr>
      </w:pPr>
      <w:r>
        <w:rPr>
          <w:rFonts w:hint="eastAsia" w:ascii="方正黑体_GBK" w:eastAsia="方正黑体_GBK"/>
        </w:rPr>
        <w:t xml:space="preserve"> </w:t>
      </w:r>
    </w:p>
    <w:p w14:paraId="77F633EB">
      <w:pPr>
        <w:topLinePunct/>
        <w:spacing w:line="560" w:lineRule="exact"/>
        <w:jc w:val="center"/>
        <w:rPr>
          <w:rFonts w:hint="eastAsia" w:ascii="方正黑体_GBK" w:eastAsia="方正黑体_GBK"/>
        </w:rPr>
      </w:pPr>
      <w:r>
        <w:rPr>
          <w:rFonts w:hint="eastAsia" w:ascii="方正黑体_GBK" w:eastAsia="方正黑体_GBK"/>
        </w:rPr>
        <w:t>第一章  总  则</w:t>
      </w:r>
    </w:p>
    <w:p w14:paraId="08BBAD70">
      <w:pPr>
        <w:topLinePunct/>
        <w:spacing w:line="560" w:lineRule="exact"/>
        <w:ind w:firstLine="632" w:firstLineChars="200"/>
        <w:rPr>
          <w:rFonts w:eastAsia="方正仿宋_GBK"/>
        </w:rPr>
      </w:pPr>
      <w:r>
        <w:rPr>
          <w:rFonts w:eastAsia="方正仿宋_GBK"/>
        </w:rPr>
        <w:t xml:space="preserve"> </w:t>
      </w:r>
    </w:p>
    <w:p w14:paraId="3B4D7AA2">
      <w:pPr>
        <w:topLinePunct/>
        <w:spacing w:line="560" w:lineRule="exact"/>
        <w:ind w:firstLine="632" w:firstLineChars="200"/>
        <w:rPr>
          <w:rFonts w:eastAsia="方正仿宋_GBK"/>
        </w:rPr>
      </w:pPr>
      <w:r>
        <w:rPr>
          <w:rFonts w:ascii="方正楷体_GBK" w:eastAsia="方正楷体_GBK"/>
        </w:rPr>
        <w:t xml:space="preserve">第一条 </w:t>
      </w:r>
      <w:r>
        <w:rPr>
          <w:rFonts w:eastAsia="方正仿宋_GBK"/>
        </w:rPr>
        <w:t xml:space="preserve"> 为提高城乡社区公共服务和发展治理水平，进一步规范和加强成都市市级城乡社区发展治理激励专项资金管理使用，提高资金使用效益，根据《中华人民共和国预算法》及其实施条例、《成都市人民政府关于印发成都市市级财政专项资金管理办法的通知》（成府发〔2022〕7号）《中共成都市委办公厅 成都市人民政府办公厅印发〈关于进一步完善城乡社区发展治理经费保障激励机制的意见〉的通知》（成委办〔2023〕13号）等有关法律法规和政策要求，结合我市实际，制定本办法。</w:t>
      </w:r>
    </w:p>
    <w:p w14:paraId="25C21D72">
      <w:pPr>
        <w:topLinePunct/>
        <w:spacing w:line="560" w:lineRule="exact"/>
        <w:ind w:firstLine="632" w:firstLineChars="200"/>
        <w:rPr>
          <w:rFonts w:eastAsia="方正仿宋_GBK"/>
        </w:rPr>
      </w:pPr>
      <w:r>
        <w:rPr>
          <w:rFonts w:ascii="方正楷体_GBK" w:eastAsia="方正楷体_GBK"/>
        </w:rPr>
        <w:t>第二条</w:t>
      </w:r>
      <w:r>
        <w:rPr>
          <w:rFonts w:eastAsia="方正仿宋_GBK"/>
        </w:rPr>
        <w:t xml:space="preserve">  本办法所称成都市市级城乡社区发展治理激励专项资金（以下简称</w:t>
      </w:r>
      <w:r>
        <w:rPr>
          <w:rFonts w:hint="eastAsia" w:eastAsia="方正仿宋_GBK"/>
        </w:rPr>
        <w:t>“</w:t>
      </w:r>
      <w:r>
        <w:rPr>
          <w:rFonts w:eastAsia="方正仿宋_GBK"/>
        </w:rPr>
        <w:t>社区激励资金</w:t>
      </w:r>
      <w:r>
        <w:rPr>
          <w:rFonts w:hint="eastAsia" w:eastAsia="方正仿宋_GBK"/>
        </w:rPr>
        <w:t>”</w:t>
      </w:r>
      <w:r>
        <w:rPr>
          <w:rFonts w:eastAsia="方正仿宋_GBK"/>
        </w:rPr>
        <w:t xml:space="preserve">），是指由市级财政预算安排，用于支持我市城乡社区发展治理和社会治理创新性、引领性实践探索相关工作开展的专项资金。 </w:t>
      </w:r>
    </w:p>
    <w:p w14:paraId="77B6B008">
      <w:pPr>
        <w:topLinePunct/>
        <w:spacing w:line="560" w:lineRule="exact"/>
        <w:ind w:firstLine="632" w:firstLineChars="200"/>
        <w:rPr>
          <w:rFonts w:eastAsia="方正仿宋_GBK"/>
        </w:rPr>
      </w:pPr>
      <w:r>
        <w:rPr>
          <w:rFonts w:ascii="方正楷体_GBK" w:eastAsia="方正楷体_GBK"/>
        </w:rPr>
        <w:t>第三条</w:t>
      </w:r>
      <w:r>
        <w:rPr>
          <w:rFonts w:eastAsia="方正仿宋_GBK"/>
        </w:rPr>
        <w:t xml:space="preserve">  社区激励资金管理使用应当遵循</w:t>
      </w:r>
      <w:r>
        <w:rPr>
          <w:rFonts w:hint="eastAsia" w:eastAsia="方正仿宋_GBK"/>
        </w:rPr>
        <w:t>“</w:t>
      </w:r>
      <w:r>
        <w:rPr>
          <w:rFonts w:eastAsia="方正仿宋_GBK"/>
        </w:rPr>
        <w:t>依法合规、突出重点、注重绩效</w:t>
      </w:r>
      <w:r>
        <w:rPr>
          <w:rFonts w:hint="eastAsia" w:eastAsia="方正仿宋_GBK"/>
        </w:rPr>
        <w:t>”</w:t>
      </w:r>
      <w:r>
        <w:rPr>
          <w:rFonts w:eastAsia="方正仿宋_GBK"/>
        </w:rPr>
        <w:t>的基本原则，强化资金全过程监督管理，切实提高资金使用效益。</w:t>
      </w:r>
    </w:p>
    <w:p w14:paraId="3DA36A92">
      <w:pPr>
        <w:topLinePunct/>
        <w:spacing w:line="560" w:lineRule="exact"/>
        <w:jc w:val="center"/>
        <w:rPr>
          <w:rFonts w:ascii="方正黑体_GBK" w:eastAsia="方正黑体_GBK"/>
        </w:rPr>
      </w:pPr>
      <w:r>
        <w:rPr>
          <w:rFonts w:ascii="方正黑体_GBK" w:eastAsia="方正黑体_GBK"/>
        </w:rPr>
        <w:t>第二章  职责分工</w:t>
      </w:r>
    </w:p>
    <w:p w14:paraId="008C83B5">
      <w:pPr>
        <w:topLinePunct/>
        <w:spacing w:line="560" w:lineRule="exact"/>
        <w:ind w:firstLine="632" w:firstLineChars="200"/>
        <w:rPr>
          <w:rFonts w:eastAsia="方正仿宋_GBK"/>
        </w:rPr>
      </w:pPr>
      <w:r>
        <w:rPr>
          <w:rFonts w:eastAsia="方正仿宋_GBK"/>
        </w:rPr>
        <w:t xml:space="preserve"> </w:t>
      </w:r>
    </w:p>
    <w:p w14:paraId="43F066F7">
      <w:pPr>
        <w:topLinePunct/>
        <w:spacing w:line="560" w:lineRule="exact"/>
        <w:ind w:firstLine="632" w:firstLineChars="200"/>
        <w:rPr>
          <w:rFonts w:eastAsia="方正仿宋_GBK"/>
        </w:rPr>
      </w:pPr>
      <w:r>
        <w:rPr>
          <w:rFonts w:ascii="方正楷体_GBK" w:eastAsia="方正楷体_GBK"/>
        </w:rPr>
        <w:t>第四条</w:t>
      </w:r>
      <w:r>
        <w:rPr>
          <w:rFonts w:eastAsia="方正仿宋_GBK"/>
        </w:rPr>
        <w:t xml:space="preserve">  财政部门主要职责</w:t>
      </w:r>
    </w:p>
    <w:p w14:paraId="13DA7904">
      <w:pPr>
        <w:topLinePunct/>
        <w:spacing w:line="560" w:lineRule="exact"/>
        <w:ind w:firstLine="632" w:firstLineChars="200"/>
        <w:textAlignment w:val="baseline"/>
        <w:rPr>
          <w:rFonts w:eastAsia="方正仿宋_GBK"/>
        </w:rPr>
      </w:pPr>
      <w:r>
        <w:rPr>
          <w:rFonts w:eastAsia="方正仿宋_GBK"/>
        </w:rPr>
        <w:t>（一）市财政局负责组织社区激励资金预算编制；批复社区激励资金预算及绩效目标；根据市委社会工作部按程序报批后的资金分配方案下达社区激励资金预算；指导市委社会工作部实施绩效管理；牵头组织实施财会监督等。</w:t>
      </w:r>
    </w:p>
    <w:p w14:paraId="5FFAA760">
      <w:pPr>
        <w:topLinePunct/>
        <w:spacing w:line="560" w:lineRule="exact"/>
        <w:ind w:firstLine="632" w:firstLineChars="200"/>
        <w:rPr>
          <w:rFonts w:eastAsia="方正仿宋_GBK"/>
        </w:rPr>
      </w:pPr>
      <w:r>
        <w:rPr>
          <w:rFonts w:eastAsia="方正仿宋_GBK"/>
        </w:rPr>
        <w:t>（二）区（市）县财政部门负责执行市级下达的社区激励资金预算，按规定及时分配拨付资金；指导区（市）县社会工作部门实施本地区社区激励资金绩效管理；组织实施本地区财会监督等。</w:t>
      </w:r>
    </w:p>
    <w:p w14:paraId="2DEC92B6">
      <w:pPr>
        <w:topLinePunct/>
        <w:spacing w:line="560" w:lineRule="exact"/>
        <w:ind w:firstLine="632" w:firstLineChars="200"/>
        <w:rPr>
          <w:rFonts w:eastAsia="方正仿宋_GBK"/>
        </w:rPr>
      </w:pPr>
      <w:r>
        <w:rPr>
          <w:rFonts w:ascii="方正楷体_GBK" w:eastAsia="方正楷体_GBK"/>
        </w:rPr>
        <w:t xml:space="preserve">第五条 </w:t>
      </w:r>
      <w:r>
        <w:rPr>
          <w:rFonts w:eastAsia="方正仿宋_GBK"/>
        </w:rPr>
        <w:t xml:space="preserve"> 社会工作部门主要职责</w:t>
      </w:r>
    </w:p>
    <w:p w14:paraId="0DD34CDC">
      <w:pPr>
        <w:topLinePunct/>
        <w:spacing w:line="560" w:lineRule="exact"/>
        <w:ind w:firstLine="632" w:firstLineChars="200"/>
        <w:rPr>
          <w:rFonts w:eastAsia="方正仿宋_GBK"/>
        </w:rPr>
      </w:pPr>
      <w:r>
        <w:rPr>
          <w:rFonts w:eastAsia="方正仿宋_GBK"/>
        </w:rPr>
        <w:t>（一）市委社会工作部主要负责社区激励资金项目管理，制定项目实施方案，对社区激励资金项目实行全生命周期管理；负责编制社区激励资金预算及绩效目标，提出社区激励资金预算分配建议方案，并按规定程序和权限报批；执行已经批复的社区激励资金预算，跟踪监管社区激励资金项目和资金执行情况，按规定提出预算调整建议意见；负责社区激励资金日常监督、绩效管理、信息公开。</w:t>
      </w:r>
    </w:p>
    <w:p w14:paraId="3F20A44E">
      <w:pPr>
        <w:topLinePunct/>
        <w:spacing w:line="560" w:lineRule="exact"/>
        <w:ind w:firstLine="632" w:firstLineChars="200"/>
        <w:rPr>
          <w:rFonts w:eastAsia="方正仿宋_GBK"/>
        </w:rPr>
      </w:pPr>
      <w:r>
        <w:rPr>
          <w:rFonts w:eastAsia="方正仿宋_GBK"/>
        </w:rPr>
        <w:t>（二）区（市）县社会工作部门负责指导、组织、推动项目实施；收集整理和报送项目执行相关情况；跟踪监管项目实施情况和资金执行情况；实施绩效管理。</w:t>
      </w:r>
    </w:p>
    <w:p w14:paraId="2AF0C6D4">
      <w:pPr>
        <w:topLinePunct/>
        <w:spacing w:line="560" w:lineRule="exact"/>
        <w:ind w:firstLine="632" w:firstLineChars="200"/>
        <w:rPr>
          <w:rFonts w:eastAsia="方正仿宋_GBK"/>
        </w:rPr>
      </w:pPr>
      <w:r>
        <w:rPr>
          <w:rFonts w:ascii="方正楷体_GBK" w:eastAsia="方正楷体_GBK"/>
        </w:rPr>
        <w:t xml:space="preserve">第六条 </w:t>
      </w:r>
      <w:r>
        <w:rPr>
          <w:rFonts w:eastAsia="方正仿宋_GBK"/>
        </w:rPr>
        <w:t xml:space="preserve"> 资金使用单位主要职责</w:t>
      </w:r>
    </w:p>
    <w:p w14:paraId="4EC71756">
      <w:pPr>
        <w:topLinePunct/>
        <w:spacing w:line="560" w:lineRule="exact"/>
        <w:ind w:firstLine="632" w:firstLineChars="200"/>
        <w:textAlignment w:val="baseline"/>
        <w:rPr>
          <w:rFonts w:eastAsia="方正仿宋_GBK"/>
        </w:rPr>
      </w:pPr>
      <w:r>
        <w:rPr>
          <w:rFonts w:eastAsia="方正仿宋_GBK"/>
        </w:rPr>
        <w:t>资金使用单位负责承担项目实施和资金使用的直接责任，负责如实申报项目，组织项目实施，严格执行资金预算，做好项目财务管理，实施绩效管理，主动接受监督等。</w:t>
      </w:r>
    </w:p>
    <w:p w14:paraId="7295CFB3">
      <w:pPr>
        <w:topLinePunct/>
        <w:spacing w:line="560" w:lineRule="exact"/>
        <w:ind w:firstLine="632" w:firstLineChars="200"/>
        <w:textAlignment w:val="baseline"/>
        <w:rPr>
          <w:rFonts w:eastAsia="方正仿宋_GBK"/>
        </w:rPr>
      </w:pPr>
      <w:r>
        <w:rPr>
          <w:rFonts w:ascii="方正楷体_GBK" w:eastAsia="方正楷体_GBK"/>
        </w:rPr>
        <w:t>第七条</w:t>
      </w:r>
      <w:r>
        <w:rPr>
          <w:rFonts w:eastAsia="方正仿宋_GBK"/>
        </w:rPr>
        <w:t xml:space="preserve">  财政、社会工作部门和资金使用单位应按照</w:t>
      </w:r>
      <w:r>
        <w:rPr>
          <w:rFonts w:hint="eastAsia" w:eastAsia="方正仿宋_GBK"/>
        </w:rPr>
        <w:t>“</w:t>
      </w:r>
      <w:r>
        <w:rPr>
          <w:rFonts w:eastAsia="方正仿宋_GBK"/>
        </w:rPr>
        <w:t>管资金必须管绩效和监督、管项目必须管绩效和监督、管政策必须管绩效和监督</w:t>
      </w:r>
      <w:r>
        <w:rPr>
          <w:rFonts w:hint="eastAsia" w:eastAsia="方正仿宋_GBK"/>
        </w:rPr>
        <w:t>”</w:t>
      </w:r>
      <w:r>
        <w:rPr>
          <w:rFonts w:eastAsia="方正仿宋_GBK"/>
        </w:rPr>
        <w:t>等要求，分工做好资金管理。</w:t>
      </w:r>
    </w:p>
    <w:p w14:paraId="1472AB69">
      <w:pPr>
        <w:topLinePunct/>
        <w:spacing w:line="560" w:lineRule="exact"/>
        <w:rPr>
          <w:rFonts w:eastAsia="方正仿宋_GBK"/>
        </w:rPr>
      </w:pPr>
      <w:r>
        <w:rPr>
          <w:rFonts w:eastAsia="方正仿宋_GBK"/>
        </w:rPr>
        <w:t xml:space="preserve"> </w:t>
      </w:r>
    </w:p>
    <w:p w14:paraId="24E78EF4">
      <w:pPr>
        <w:topLinePunct/>
        <w:spacing w:line="560" w:lineRule="exact"/>
        <w:jc w:val="center"/>
        <w:rPr>
          <w:rFonts w:ascii="方正黑体_GBK" w:eastAsia="方正黑体_GBK"/>
        </w:rPr>
      </w:pPr>
      <w:r>
        <w:rPr>
          <w:rFonts w:ascii="方正黑体_GBK" w:eastAsia="方正黑体_GBK"/>
        </w:rPr>
        <w:t>第三章  支持方向和方式</w:t>
      </w:r>
    </w:p>
    <w:p w14:paraId="70B38DD7">
      <w:pPr>
        <w:topLinePunct/>
        <w:spacing w:line="560" w:lineRule="exact"/>
        <w:ind w:firstLine="634"/>
        <w:contextualSpacing/>
        <w:rPr>
          <w:rFonts w:eastAsia="方正仿宋_GBK"/>
        </w:rPr>
      </w:pPr>
      <w:r>
        <w:rPr>
          <w:rFonts w:eastAsia="方正仿宋_GBK"/>
        </w:rPr>
        <w:t xml:space="preserve"> </w:t>
      </w:r>
    </w:p>
    <w:p w14:paraId="5A7D53A3">
      <w:pPr>
        <w:topLinePunct/>
        <w:spacing w:line="560" w:lineRule="exact"/>
        <w:ind w:firstLine="634"/>
        <w:contextualSpacing/>
        <w:rPr>
          <w:rFonts w:eastAsia="方正仿宋_GBK"/>
          <w:kern w:val="0"/>
        </w:rPr>
      </w:pPr>
      <w:r>
        <w:rPr>
          <w:rFonts w:ascii="方正楷体_GBK" w:eastAsia="方正楷体_GBK"/>
        </w:rPr>
        <w:t xml:space="preserve">第八条  </w:t>
      </w:r>
      <w:r>
        <w:rPr>
          <w:rFonts w:eastAsia="方正仿宋_GBK"/>
        </w:rPr>
        <w:t>社区激励资金</w:t>
      </w:r>
      <w:r>
        <w:rPr>
          <w:rFonts w:eastAsia="方正仿宋_GBK"/>
          <w:kern w:val="0"/>
        </w:rPr>
        <w:t>支持对象主要包括：区（市）县、镇（街道）、村（社区）及新兴领域相关主体等。</w:t>
      </w:r>
    </w:p>
    <w:p w14:paraId="668F8C05">
      <w:pPr>
        <w:topLinePunct/>
        <w:spacing w:line="560" w:lineRule="exact"/>
        <w:ind w:firstLine="632" w:firstLineChars="200"/>
        <w:rPr>
          <w:rFonts w:eastAsia="方正仿宋_GBK"/>
          <w:u w:val="single"/>
        </w:rPr>
      </w:pPr>
      <w:r>
        <w:rPr>
          <w:rFonts w:ascii="方正楷体_GBK" w:eastAsia="方正楷体_GBK"/>
        </w:rPr>
        <w:t xml:space="preserve">第九条 </w:t>
      </w:r>
      <w:r>
        <w:rPr>
          <w:rFonts w:eastAsia="方正仿宋_GBK"/>
        </w:rPr>
        <w:t xml:space="preserve"> 社区激励资金主要支持全市城乡社区发展治理和其他社会治理工作</w:t>
      </w:r>
      <w:r>
        <w:rPr>
          <w:rFonts w:hint="eastAsia" w:eastAsia="方正仿宋_GBK"/>
        </w:rPr>
        <w:t>“</w:t>
      </w:r>
      <w:r>
        <w:rPr>
          <w:rFonts w:eastAsia="方正仿宋_GBK"/>
        </w:rPr>
        <w:t>优阵地、惠民生、提能力</w:t>
      </w:r>
      <w:r>
        <w:rPr>
          <w:rFonts w:hint="eastAsia" w:eastAsia="方正仿宋_GBK"/>
        </w:rPr>
        <w:t>”</w:t>
      </w:r>
      <w:r>
        <w:rPr>
          <w:rFonts w:eastAsia="方正仿宋_GBK"/>
        </w:rPr>
        <w:t>，具体内容按依规确定的年度支持项目清单实施。主要支持方向如下：</w:t>
      </w:r>
    </w:p>
    <w:p w14:paraId="1F075250">
      <w:pPr>
        <w:topLinePunct/>
        <w:spacing w:line="560" w:lineRule="exact"/>
        <w:ind w:firstLine="632" w:firstLineChars="200"/>
        <w:rPr>
          <w:rFonts w:eastAsia="方正仿宋_GBK"/>
        </w:rPr>
      </w:pPr>
      <w:r>
        <w:rPr>
          <w:rFonts w:eastAsia="方正仿宋_GBK"/>
        </w:rPr>
        <w:t>（一）优阵地：主要包括社区综合服务中心、村（社区）党群服务中心、小区（院落）党群服务站、新兴领域基层党建阵地等基层阵地的新建、改（扩）建、维修维护以及设施设备的购置、更新、维护等。</w:t>
      </w:r>
    </w:p>
    <w:p w14:paraId="2D5AB802">
      <w:pPr>
        <w:topLinePunct/>
        <w:spacing w:line="560" w:lineRule="exact"/>
        <w:ind w:firstLine="632" w:firstLineChars="200"/>
        <w:rPr>
          <w:rFonts w:eastAsia="方正仿宋_GBK"/>
        </w:rPr>
      </w:pPr>
      <w:r>
        <w:rPr>
          <w:rFonts w:eastAsia="方正仿宋_GBK"/>
        </w:rPr>
        <w:t>（二）惠民生：主要围绕全市城乡社区居民普遍存在的急难愁盼问题，以区（市）县和镇（街道）层面的试点创新或长效机制建设为重点，组织实施居民</w:t>
      </w:r>
      <w:r>
        <w:rPr>
          <w:rFonts w:hint="eastAsia" w:eastAsia="方正仿宋_GBK"/>
        </w:rPr>
        <w:t>“</w:t>
      </w:r>
      <w:r>
        <w:rPr>
          <w:rFonts w:eastAsia="方正仿宋_GBK"/>
        </w:rPr>
        <w:t>家门口</w:t>
      </w:r>
      <w:r>
        <w:rPr>
          <w:rFonts w:hint="eastAsia" w:eastAsia="方正仿宋_GBK"/>
        </w:rPr>
        <w:t>”</w:t>
      </w:r>
      <w:r>
        <w:rPr>
          <w:rFonts w:eastAsia="方正仿宋_GBK"/>
        </w:rPr>
        <w:t>小微民生实事项目，为全市提供相关经验借鉴。</w:t>
      </w:r>
    </w:p>
    <w:p w14:paraId="00FB028B">
      <w:pPr>
        <w:topLinePunct/>
        <w:spacing w:line="560" w:lineRule="exact"/>
        <w:ind w:firstLine="632" w:firstLineChars="200"/>
        <w:rPr>
          <w:rFonts w:eastAsia="方正仿宋_GBK"/>
        </w:rPr>
      </w:pPr>
      <w:r>
        <w:rPr>
          <w:rFonts w:eastAsia="方正仿宋_GBK"/>
        </w:rPr>
        <w:t xml:space="preserve">（三）提能力：主要包括对全市具有试点创新价值的社区治理多元主体培育和基层治理品牌建设、志愿服务和专业社工服务体系建设相关项目；对新经济组织、新社会组织、新就业群体和行业协会商会长效治理能力提升具有试点创新作用的实践项目。   </w:t>
      </w:r>
    </w:p>
    <w:p w14:paraId="6ADC2461">
      <w:pPr>
        <w:topLinePunct/>
        <w:spacing w:line="560" w:lineRule="exact"/>
        <w:ind w:firstLine="632" w:firstLineChars="200"/>
        <w:rPr>
          <w:rFonts w:eastAsia="方正仿宋_GBK"/>
        </w:rPr>
      </w:pPr>
      <w:r>
        <w:rPr>
          <w:rFonts w:eastAsia="方正仿宋_GBK"/>
        </w:rPr>
        <w:t>（四）中央社会工作部、省委社会工作部和市委、市政府明确的重点工作任务，以及对全市城乡社区发展治理和其他社会治理工作有重大贡献和创新突破的项目。</w:t>
      </w:r>
    </w:p>
    <w:p w14:paraId="6DC4F590">
      <w:pPr>
        <w:topLinePunct/>
        <w:spacing w:line="560" w:lineRule="exact"/>
        <w:ind w:firstLine="640"/>
        <w:rPr>
          <w:rFonts w:eastAsia="方正仿宋_GBK"/>
        </w:rPr>
      </w:pPr>
      <w:r>
        <w:rPr>
          <w:rFonts w:ascii="方正楷体_GBK" w:eastAsia="方正楷体_GBK"/>
        </w:rPr>
        <w:t xml:space="preserve">第十条 </w:t>
      </w:r>
      <w:r>
        <w:rPr>
          <w:rFonts w:eastAsia="方正仿宋_GBK"/>
        </w:rPr>
        <w:t xml:space="preserve"> 社区激励资金主要采用项目法进行分配，实行项目库管理制度，通过揭榜挂帅和重点工作任务安排实施。</w:t>
      </w:r>
    </w:p>
    <w:p w14:paraId="47F0C9F0">
      <w:pPr>
        <w:pStyle w:val="3"/>
        <w:topLinePunct/>
        <w:adjustRightInd/>
        <w:snapToGrid/>
        <w:spacing w:line="560" w:lineRule="exact"/>
        <w:ind w:firstLine="632" w:firstLineChars="200"/>
        <w:jc w:val="both"/>
        <w:rPr>
          <w:rFonts w:eastAsia="方正仿宋_GBK"/>
          <w:sz w:val="32"/>
          <w:szCs w:val="32"/>
        </w:rPr>
      </w:pPr>
      <w:r>
        <w:rPr>
          <w:rFonts w:ascii="方正楷体_GBK" w:eastAsia="方正楷体_GBK"/>
          <w:sz w:val="32"/>
          <w:szCs w:val="32"/>
        </w:rPr>
        <w:t xml:space="preserve">第十一条 </w:t>
      </w:r>
      <w:r>
        <w:rPr>
          <w:rFonts w:eastAsia="方正仿宋_GBK"/>
          <w:sz w:val="32"/>
          <w:szCs w:val="32"/>
        </w:rPr>
        <w:t xml:space="preserve"> 社区激励资金支持范围内的相关项目支持标准、申报条件等，由市委社会工作部在项目管理办法或项目申报通知（指南）中另行明确。  </w:t>
      </w:r>
    </w:p>
    <w:p w14:paraId="2E9C2809">
      <w:pPr>
        <w:topLinePunct/>
        <w:spacing w:line="560" w:lineRule="exact"/>
        <w:jc w:val="center"/>
        <w:rPr>
          <w:rFonts w:eastAsia="方正仿宋_GBK"/>
        </w:rPr>
      </w:pPr>
      <w:r>
        <w:rPr>
          <w:rFonts w:eastAsia="方正仿宋_GBK"/>
        </w:rPr>
        <w:t xml:space="preserve"> </w:t>
      </w:r>
    </w:p>
    <w:p w14:paraId="1ED8744D">
      <w:pPr>
        <w:topLinePunct/>
        <w:spacing w:line="560" w:lineRule="exact"/>
        <w:jc w:val="center"/>
        <w:rPr>
          <w:rFonts w:ascii="方正黑体_GBK" w:eastAsia="方正黑体_GBK"/>
        </w:rPr>
      </w:pPr>
      <w:r>
        <w:rPr>
          <w:rFonts w:ascii="方正黑体_GBK" w:eastAsia="方正黑体_GBK"/>
        </w:rPr>
        <w:t>第四章  预算管理</w:t>
      </w:r>
    </w:p>
    <w:p w14:paraId="7B9DB7ED">
      <w:pPr>
        <w:topLinePunct/>
        <w:spacing w:line="560" w:lineRule="exact"/>
        <w:ind w:firstLine="632" w:firstLineChars="200"/>
        <w:textAlignment w:val="baseline"/>
        <w:rPr>
          <w:rFonts w:eastAsia="方正仿宋_GBK"/>
        </w:rPr>
      </w:pPr>
      <w:r>
        <w:rPr>
          <w:rFonts w:eastAsia="方正仿宋_GBK"/>
        </w:rPr>
        <w:t xml:space="preserve"> </w:t>
      </w:r>
    </w:p>
    <w:p w14:paraId="7793644F">
      <w:pPr>
        <w:topLinePunct/>
        <w:spacing w:line="560" w:lineRule="exact"/>
        <w:ind w:firstLine="632" w:firstLineChars="200"/>
        <w:textAlignment w:val="baseline"/>
        <w:rPr>
          <w:rFonts w:eastAsia="方正仿宋_GBK"/>
        </w:rPr>
      </w:pPr>
      <w:r>
        <w:rPr>
          <w:rFonts w:ascii="方正楷体_GBK" w:eastAsia="方正楷体_GBK"/>
        </w:rPr>
        <w:t xml:space="preserve">第十二条 </w:t>
      </w:r>
      <w:r>
        <w:rPr>
          <w:rFonts w:eastAsia="方正仿宋_GBK"/>
        </w:rPr>
        <w:t xml:space="preserve"> 市委社会工作部应围绕市委、市政府关于社会工作有关决策部署、年度工作重点，落实整治形式主义为基层减负有关要求，结合成都市实际，以提高资金绩效为导向，全面梳理社区激励资金年度支持项目，并会同市财政局确定下一年度支持项目清单。年度支持项目清单一经确定，当年预算执行中原则上不作调整，如遇中央、省、市相关政策调整的从其规定。</w:t>
      </w:r>
    </w:p>
    <w:p w14:paraId="5CD46CA4">
      <w:pPr>
        <w:topLinePunct/>
        <w:spacing w:line="560" w:lineRule="exact"/>
        <w:ind w:firstLine="632" w:firstLineChars="200"/>
        <w:rPr>
          <w:rFonts w:eastAsia="方正仿宋_GBK"/>
        </w:rPr>
      </w:pPr>
      <w:r>
        <w:rPr>
          <w:rFonts w:eastAsia="方正仿宋_GBK"/>
        </w:rPr>
        <w:t>市委社会工作部根据下一年度资金支持方向，合理测算并申报下一年度社区激励资金预算；市财政局根据社区激励资金当年预算执行情况和绩效情况、项目及任务数变化等相关因素，结合我市经济社会发展重点和财力实际，确定下一年度社区激励资金预算控制数；市委社会工作部在预算控制数内，编制社区激励资金年初预算分配建议方案，经部务会审议、分管市领导审批同意后报财政部门，纳入财政年度收支预算草案按程序报批。</w:t>
      </w:r>
    </w:p>
    <w:p w14:paraId="6A0A5CB0">
      <w:pPr>
        <w:pStyle w:val="3"/>
        <w:topLinePunct/>
        <w:adjustRightInd/>
        <w:snapToGrid/>
        <w:spacing w:line="560" w:lineRule="exact"/>
        <w:ind w:firstLine="632" w:firstLineChars="200"/>
        <w:jc w:val="both"/>
        <w:rPr>
          <w:rFonts w:eastAsia="方正仿宋_GBK"/>
          <w:sz w:val="32"/>
          <w:szCs w:val="32"/>
        </w:rPr>
      </w:pPr>
      <w:r>
        <w:rPr>
          <w:rFonts w:eastAsia="方正仿宋_GBK"/>
          <w:sz w:val="32"/>
          <w:szCs w:val="32"/>
        </w:rPr>
        <w:t>各区（市）县财政部门应统筹考虑城乡社区发展治理和社会治理工作的实际情况，结合上级补助资金安排情况，合理安排区（市）县本级预算，切实保障城乡社区发展治理和社会治理工作的资金需求。</w:t>
      </w:r>
    </w:p>
    <w:p w14:paraId="6063B404">
      <w:pPr>
        <w:topLinePunct/>
        <w:spacing w:line="560" w:lineRule="exact"/>
        <w:ind w:firstLine="640"/>
        <w:rPr>
          <w:rFonts w:eastAsia="方正仿宋_GBK"/>
          <w:color w:val="000000"/>
        </w:rPr>
      </w:pPr>
      <w:r>
        <w:rPr>
          <w:rFonts w:ascii="方正楷体_GBK" w:eastAsia="方正楷体_GBK"/>
        </w:rPr>
        <w:t xml:space="preserve">第十三条  </w:t>
      </w:r>
      <w:r>
        <w:rPr>
          <w:rFonts w:eastAsia="方正仿宋_GBK"/>
          <w:color w:val="000000"/>
        </w:rPr>
        <w:t>社区激励资金预算下达包括提前下达和正式下达两部分。</w:t>
      </w:r>
    </w:p>
    <w:p w14:paraId="37BD5B0B">
      <w:pPr>
        <w:topLinePunct/>
        <w:spacing w:line="560" w:lineRule="exact"/>
        <w:ind w:firstLine="640"/>
        <w:rPr>
          <w:rFonts w:eastAsia="方正仿宋_GBK"/>
          <w:color w:val="000000"/>
        </w:rPr>
      </w:pPr>
      <w:r>
        <w:rPr>
          <w:rFonts w:eastAsia="方正仿宋_GBK"/>
          <w:color w:val="000000"/>
        </w:rPr>
        <w:t>（一）提前下达。按照《</w:t>
      </w:r>
      <w:r>
        <w:rPr>
          <w:rFonts w:eastAsia="方正仿宋_GBK"/>
        </w:rPr>
        <w:t>中华人民共和国</w:t>
      </w:r>
      <w:r>
        <w:rPr>
          <w:rFonts w:eastAsia="方正仿宋_GBK"/>
          <w:color w:val="000000"/>
        </w:rPr>
        <w:t>预算法》及其实施条例等有关规定，市委社会工作部根据项目库中项目评审遴选结果，应在11月底前提出社区激励资金提前下达预算分配建议方案，按程序报批后送市财政局办理，资金提前下达比例一般不低于70%。</w:t>
      </w:r>
    </w:p>
    <w:p w14:paraId="1A56A748">
      <w:pPr>
        <w:topLinePunct/>
        <w:spacing w:line="560" w:lineRule="exact"/>
        <w:ind w:firstLine="640"/>
        <w:rPr>
          <w:rFonts w:eastAsia="方正仿宋_GBK"/>
          <w:color w:val="000000"/>
        </w:rPr>
      </w:pPr>
      <w:r>
        <w:rPr>
          <w:rFonts w:eastAsia="方正仿宋_GBK"/>
          <w:color w:val="000000"/>
        </w:rPr>
        <w:t>（二）正式下达。市委社会工作部在规定时间内按程序提出剩余资金分配建议方案，由市财政局下达到区（市）县财政。</w:t>
      </w:r>
    </w:p>
    <w:p w14:paraId="7A3749FB">
      <w:pPr>
        <w:topLinePunct/>
        <w:spacing w:line="560" w:lineRule="exact"/>
        <w:ind w:firstLine="640"/>
        <w:rPr>
          <w:rFonts w:eastAsia="方正仿宋_GBK"/>
        </w:rPr>
      </w:pPr>
      <w:r>
        <w:rPr>
          <w:rFonts w:ascii="方正楷体_GBK" w:eastAsia="方正楷体_GBK"/>
        </w:rPr>
        <w:t xml:space="preserve">第十四条 </w:t>
      </w:r>
      <w:r>
        <w:rPr>
          <w:rFonts w:eastAsia="方正仿宋_GBK"/>
        </w:rPr>
        <w:t xml:space="preserve"> 社区激励资金各类支持方式每年度原则上不重复支持同一项目。除多渠道筹资项目外，同一项目当年已获其他中央、省、市级财政专项资金支持的，社区激励资金原则上不再予以安排，上级有明确规定的从其规定。 </w:t>
      </w:r>
    </w:p>
    <w:p w14:paraId="2AA8FB29">
      <w:pPr>
        <w:pStyle w:val="3"/>
        <w:topLinePunct/>
        <w:adjustRightInd/>
        <w:snapToGrid/>
        <w:spacing w:line="560" w:lineRule="exact"/>
        <w:rPr>
          <w:rFonts w:eastAsia="方正仿宋_GBK"/>
          <w:sz w:val="32"/>
          <w:szCs w:val="32"/>
        </w:rPr>
      </w:pPr>
      <w:r>
        <w:rPr>
          <w:rFonts w:eastAsia="方正仿宋_GBK"/>
          <w:sz w:val="32"/>
          <w:szCs w:val="32"/>
        </w:rPr>
        <w:t xml:space="preserve"> </w:t>
      </w:r>
    </w:p>
    <w:p w14:paraId="00D2FBC7">
      <w:pPr>
        <w:topLinePunct/>
        <w:spacing w:line="560" w:lineRule="exact"/>
        <w:jc w:val="center"/>
        <w:rPr>
          <w:rFonts w:ascii="方正黑体_GBK" w:eastAsia="方正黑体_GBK"/>
        </w:rPr>
      </w:pPr>
      <w:r>
        <w:rPr>
          <w:rFonts w:ascii="方正黑体_GBK" w:eastAsia="方正黑体_GBK"/>
        </w:rPr>
        <w:t>第五章  资金管理</w:t>
      </w:r>
    </w:p>
    <w:p w14:paraId="290278B0">
      <w:pPr>
        <w:topLinePunct/>
        <w:spacing w:line="560" w:lineRule="exact"/>
        <w:ind w:firstLine="632" w:firstLineChars="200"/>
        <w:rPr>
          <w:rFonts w:eastAsia="方正仿宋_GBK"/>
        </w:rPr>
      </w:pPr>
      <w:r>
        <w:rPr>
          <w:rFonts w:eastAsia="方正仿宋_GBK"/>
        </w:rPr>
        <w:t xml:space="preserve"> </w:t>
      </w:r>
    </w:p>
    <w:p w14:paraId="68F52C26">
      <w:pPr>
        <w:topLinePunct/>
        <w:spacing w:line="560" w:lineRule="exact"/>
        <w:ind w:firstLine="632" w:firstLineChars="200"/>
        <w:rPr>
          <w:rFonts w:eastAsia="方正仿宋_GBK"/>
        </w:rPr>
      </w:pPr>
      <w:r>
        <w:rPr>
          <w:rFonts w:ascii="方正楷体_GBK" w:eastAsia="方正楷体_GBK"/>
        </w:rPr>
        <w:t>第十五条</w:t>
      </w:r>
      <w:r>
        <w:rPr>
          <w:rFonts w:eastAsia="方正仿宋_GBK"/>
        </w:rPr>
        <w:t xml:space="preserve">  社会工作部门应当严格落实主体责任，有序加快预算分配和执行进度，提高社区激励资金使用效益。各区（市）县财政部门在收到社区激励资金后，应会同区（市）县社会工作部门在规定时限内拨付到位。</w:t>
      </w:r>
    </w:p>
    <w:p w14:paraId="7C2C2126">
      <w:pPr>
        <w:topLinePunct/>
        <w:spacing w:line="560" w:lineRule="exact"/>
        <w:ind w:firstLine="632" w:firstLineChars="200"/>
        <w:rPr>
          <w:rFonts w:eastAsia="方正仿宋_GBK"/>
        </w:rPr>
      </w:pPr>
      <w:r>
        <w:rPr>
          <w:rFonts w:ascii="方正楷体_GBK" w:eastAsia="方正楷体_GBK"/>
        </w:rPr>
        <w:t xml:space="preserve">第十六条 </w:t>
      </w:r>
      <w:r>
        <w:rPr>
          <w:rFonts w:eastAsia="方正仿宋_GBK"/>
        </w:rPr>
        <w:t xml:space="preserve"> 社区激励资金的支付严格按照国库集中支付制度有关规定执行。项目涉及政府采购或形成国有资产的，按有关规定和程序办理。</w:t>
      </w:r>
    </w:p>
    <w:p w14:paraId="181E1040">
      <w:pPr>
        <w:topLinePunct/>
        <w:spacing w:line="560" w:lineRule="exact"/>
        <w:ind w:firstLine="632" w:firstLineChars="200"/>
        <w:rPr>
          <w:rFonts w:eastAsia="方正仿宋_GBK"/>
        </w:rPr>
      </w:pPr>
      <w:r>
        <w:rPr>
          <w:rFonts w:ascii="方正楷体_GBK" w:eastAsia="方正楷体_GBK"/>
        </w:rPr>
        <w:t>第十七条</w:t>
      </w:r>
      <w:r>
        <w:rPr>
          <w:rFonts w:eastAsia="方正仿宋_GBK"/>
        </w:rPr>
        <w:t xml:space="preserve">  社区激励资金的使用单位应当严格执行专项资金项目预算，实行专项管理、单独核算、专款专用，严格按规定用途使用，不得以任何形式挤占挪用、截留、滞留和擅自变更资金使用方向。</w:t>
      </w:r>
    </w:p>
    <w:p w14:paraId="67530C97">
      <w:pPr>
        <w:topLinePunct/>
        <w:spacing w:line="560" w:lineRule="exact"/>
        <w:ind w:firstLine="632" w:firstLineChars="200"/>
        <w:rPr>
          <w:rFonts w:eastAsia="方正仿宋_GBK"/>
        </w:rPr>
      </w:pPr>
      <w:r>
        <w:rPr>
          <w:rFonts w:ascii="方正楷体_GBK" w:eastAsia="方正楷体_GBK"/>
        </w:rPr>
        <w:t xml:space="preserve">第十八条 </w:t>
      </w:r>
      <w:r>
        <w:rPr>
          <w:rFonts w:eastAsia="方正仿宋_GBK"/>
        </w:rPr>
        <w:t xml:space="preserve"> 社区激励资金支出预算批复后，市委社会工作部不得自行调整。预算执行中如遇特殊情况，需要在预算批复额度内调整分配方案或支出方向的，市委社会工作部应当按规定程序报批。</w:t>
      </w:r>
    </w:p>
    <w:p w14:paraId="6788FA7C">
      <w:pPr>
        <w:topLinePunct/>
        <w:spacing w:line="560" w:lineRule="exact"/>
        <w:ind w:firstLine="632" w:firstLineChars="200"/>
        <w:rPr>
          <w:rFonts w:eastAsia="方正仿宋_GBK"/>
        </w:rPr>
      </w:pPr>
      <w:r>
        <w:rPr>
          <w:rFonts w:ascii="方正楷体_GBK" w:eastAsia="方正楷体_GBK"/>
        </w:rPr>
        <w:t xml:space="preserve">第十九条 </w:t>
      </w:r>
      <w:r>
        <w:rPr>
          <w:rFonts w:eastAsia="方正仿宋_GBK"/>
        </w:rPr>
        <w:t xml:space="preserve"> 财政部门应当及时清理盘活结转结余资金。未分配下达的社区激励资金预算不予结转。补助区（市）县的社区激励资金支出预算按转移支付结转结余规定办理。</w:t>
      </w:r>
    </w:p>
    <w:p w14:paraId="1899741F">
      <w:pPr>
        <w:topLinePunct/>
        <w:spacing w:line="560" w:lineRule="exact"/>
        <w:rPr>
          <w:rFonts w:eastAsia="方正仿宋_GBK"/>
        </w:rPr>
      </w:pPr>
      <w:r>
        <w:rPr>
          <w:rFonts w:eastAsia="方正仿宋_GBK"/>
        </w:rPr>
        <w:t xml:space="preserve">    </w:t>
      </w:r>
    </w:p>
    <w:p w14:paraId="2EC9CF3F">
      <w:pPr>
        <w:topLinePunct/>
        <w:spacing w:line="560" w:lineRule="exact"/>
        <w:jc w:val="center"/>
        <w:rPr>
          <w:rFonts w:ascii="方正黑体_GBK" w:eastAsia="方正黑体_GBK"/>
        </w:rPr>
      </w:pPr>
      <w:r>
        <w:rPr>
          <w:rFonts w:ascii="方正黑体_GBK" w:eastAsia="方正黑体_GBK"/>
        </w:rPr>
        <w:t>第六章  绩效管理</w:t>
      </w:r>
    </w:p>
    <w:p w14:paraId="194C8CCB">
      <w:pPr>
        <w:topLinePunct/>
        <w:spacing w:line="560" w:lineRule="exact"/>
        <w:ind w:firstLine="632" w:firstLineChars="200"/>
        <w:rPr>
          <w:rFonts w:eastAsia="方正仿宋_GBK"/>
        </w:rPr>
      </w:pPr>
      <w:r>
        <w:rPr>
          <w:rFonts w:eastAsia="方正仿宋_GBK"/>
        </w:rPr>
        <w:t xml:space="preserve"> </w:t>
      </w:r>
    </w:p>
    <w:p w14:paraId="4D2E4BF7">
      <w:pPr>
        <w:topLinePunct/>
        <w:spacing w:line="560" w:lineRule="exact"/>
        <w:ind w:firstLine="632" w:firstLineChars="200"/>
        <w:rPr>
          <w:rFonts w:eastAsia="方正仿宋_GBK"/>
          <w:u w:val="single"/>
        </w:rPr>
      </w:pPr>
      <w:r>
        <w:rPr>
          <w:rFonts w:ascii="方正楷体_GBK" w:eastAsia="方正楷体_GBK"/>
        </w:rPr>
        <w:t xml:space="preserve">第二十条 </w:t>
      </w:r>
      <w:r>
        <w:rPr>
          <w:rFonts w:eastAsia="方正仿宋_GBK"/>
        </w:rPr>
        <w:t xml:space="preserve"> 社区激励资金建立贯穿预算编制、执行、监督全过程的预算绩效管理机制。财政、社会工作部门应按照全面实施预算绩效管理的要求，强化绩效目标管理，做好绩效监控和绩效评价，加强评价结果应用，提高资金配置效率和使用效益。绩效评价结果作为完善专项资金政策、以后年度预算安排和调整优化支出结构的重要参考依据。</w:t>
      </w:r>
    </w:p>
    <w:p w14:paraId="1754F6F9">
      <w:pPr>
        <w:topLinePunct/>
        <w:spacing w:line="560" w:lineRule="exact"/>
        <w:ind w:firstLine="632" w:firstLineChars="200"/>
        <w:rPr>
          <w:rFonts w:eastAsia="方正仿宋_GBK"/>
        </w:rPr>
      </w:pPr>
      <w:r>
        <w:rPr>
          <w:rFonts w:ascii="方正楷体_GBK" w:eastAsia="方正楷体_GBK"/>
        </w:rPr>
        <w:t>第二十一条</w:t>
      </w:r>
      <w:r>
        <w:rPr>
          <w:rFonts w:eastAsia="方正仿宋_GBK"/>
        </w:rPr>
        <w:t xml:space="preserve">  社区激励资金在申报预算时应当同步编制细化项目绩效目标，由主管部门审核通过后在资金分配时同步分解下达绩效目标。市委社会工作部应加强绩效跟踪监控，组织开展部门评价，健全问题整改机制，加强对下绩效管理指导。市财政局适时组织财政重点绩效评价，强化绩效结果运用。区（市）县社会工作部门按规定科学合理设定具体项目绩效目标，动态实施绩效运行监控，开展绩效自评。</w:t>
      </w:r>
    </w:p>
    <w:p w14:paraId="359598C8">
      <w:pPr>
        <w:topLinePunct/>
        <w:spacing w:line="560" w:lineRule="exact"/>
        <w:ind w:firstLine="632" w:firstLineChars="200"/>
        <w:rPr>
          <w:rFonts w:eastAsia="方正仿宋_GBK"/>
        </w:rPr>
      </w:pPr>
      <w:r>
        <w:rPr>
          <w:rFonts w:eastAsia="方正仿宋_GBK"/>
        </w:rPr>
        <w:t>以上绩效评价的内容包括但不限于项目执行进度、资金使用情况、任务完成数量、任务完成质量、任务完成时效、经济和社会效益、可持续影响和社会满意度等。</w:t>
      </w:r>
    </w:p>
    <w:p w14:paraId="1203F23A">
      <w:pPr>
        <w:topLinePunct/>
        <w:spacing w:line="560" w:lineRule="exact"/>
        <w:rPr>
          <w:rFonts w:eastAsia="方正仿宋_GBK"/>
        </w:rPr>
      </w:pPr>
      <w:r>
        <w:rPr>
          <w:rFonts w:eastAsia="方正仿宋_GBK"/>
        </w:rPr>
        <w:t xml:space="preserve"> </w:t>
      </w:r>
    </w:p>
    <w:p w14:paraId="39B082F9">
      <w:pPr>
        <w:topLinePunct/>
        <w:spacing w:line="560" w:lineRule="exact"/>
        <w:jc w:val="center"/>
        <w:rPr>
          <w:rFonts w:ascii="方正黑体_GBK" w:eastAsia="方正黑体_GBK"/>
        </w:rPr>
      </w:pPr>
      <w:r>
        <w:rPr>
          <w:rFonts w:ascii="方正黑体_GBK" w:eastAsia="方正黑体_GBK"/>
        </w:rPr>
        <w:t>第七章  监督检查</w:t>
      </w:r>
    </w:p>
    <w:p w14:paraId="0E85F664">
      <w:pPr>
        <w:topLinePunct/>
        <w:spacing w:line="560" w:lineRule="exact"/>
        <w:ind w:firstLine="632" w:firstLineChars="200"/>
        <w:rPr>
          <w:rFonts w:eastAsia="方正仿宋_GBK"/>
        </w:rPr>
      </w:pPr>
      <w:r>
        <w:rPr>
          <w:rFonts w:eastAsia="方正仿宋_GBK"/>
        </w:rPr>
        <w:t xml:space="preserve"> </w:t>
      </w:r>
    </w:p>
    <w:p w14:paraId="257C3082">
      <w:pPr>
        <w:topLinePunct/>
        <w:spacing w:line="560" w:lineRule="exact"/>
        <w:ind w:firstLine="632" w:firstLineChars="200"/>
        <w:rPr>
          <w:rFonts w:eastAsia="方正仿宋_GBK"/>
        </w:rPr>
      </w:pPr>
      <w:r>
        <w:rPr>
          <w:rFonts w:ascii="方正楷体_GBK" w:eastAsia="方正楷体_GBK"/>
        </w:rPr>
        <w:t>第二十二条</w:t>
      </w:r>
      <w:r>
        <w:rPr>
          <w:rFonts w:eastAsia="方正仿宋_GBK"/>
        </w:rPr>
        <w:t xml:space="preserve">  财政、社会工作部门和资金使用单位要自觉接受纪检监察、巡视巡察、审计监督和财会监督等监督检查，按照职责加强对社区激励资金的监督检查，及时发现和纠正有关问题，确保资金安全。</w:t>
      </w:r>
    </w:p>
    <w:p w14:paraId="2EA8E397">
      <w:pPr>
        <w:topLinePunct/>
        <w:spacing w:line="560" w:lineRule="exact"/>
        <w:ind w:firstLine="632" w:firstLineChars="200"/>
        <w:rPr>
          <w:rFonts w:eastAsia="方正仿宋_GBK"/>
        </w:rPr>
      </w:pPr>
      <w:r>
        <w:rPr>
          <w:rFonts w:ascii="方正楷体_GBK" w:eastAsia="方正楷体_GBK"/>
        </w:rPr>
        <w:t xml:space="preserve">第二十三条  </w:t>
      </w:r>
      <w:r>
        <w:rPr>
          <w:rFonts w:eastAsia="方正仿宋_GBK"/>
        </w:rPr>
        <w:t>财政、社会工作部门和资金使用单位要严格落实财会监督责任，严肃财经纪律，加强监督管理，建立健全内控制度，加强项目管理、资金管理，规范会计行为，有效防范和化解补助资金管理使用过程中存在的风险隐患，对在各类检查中发现的问题，要及时整改到位。强化结果运用，将监督检查结果与预算安排挂钩。</w:t>
      </w:r>
    </w:p>
    <w:p w14:paraId="12F41A5B">
      <w:pPr>
        <w:topLinePunct/>
        <w:spacing w:line="560" w:lineRule="exact"/>
        <w:ind w:firstLine="632" w:firstLineChars="200"/>
        <w:rPr>
          <w:rFonts w:eastAsia="方正仿宋_GBK"/>
        </w:rPr>
      </w:pPr>
      <w:r>
        <w:rPr>
          <w:rFonts w:ascii="方正楷体_GBK" w:eastAsia="方正楷体_GBK"/>
        </w:rPr>
        <w:t>第二十四条</w:t>
      </w:r>
      <w:r>
        <w:rPr>
          <w:rFonts w:eastAsia="方正仿宋_GBK"/>
        </w:rPr>
        <w:t xml:space="preserve">  财政、社会工作部门、资金使用单位和个人在社区激励资金管理使用中存在弄虚作假、挤占挪用、套取骗取、贪污截留等违法违纪行为的，按照《中华人民共和国预算法》及其实施条例、《中华人民共和国公职人员政务处分法》《财政违法行为处罚处分条例》等法律法规处理。涉嫌犯罪的，依法移送有权机关处理。</w:t>
      </w:r>
    </w:p>
    <w:p w14:paraId="0CC8A71F">
      <w:pPr>
        <w:pStyle w:val="3"/>
        <w:topLinePunct/>
        <w:adjustRightInd/>
        <w:snapToGrid/>
        <w:spacing w:line="560" w:lineRule="exact"/>
        <w:rPr>
          <w:rFonts w:eastAsia="方正仿宋_GBK"/>
          <w:sz w:val="32"/>
          <w:szCs w:val="32"/>
        </w:rPr>
      </w:pPr>
      <w:r>
        <w:rPr>
          <w:rFonts w:eastAsia="方正仿宋_GBK"/>
          <w:sz w:val="32"/>
          <w:szCs w:val="32"/>
        </w:rPr>
        <w:t xml:space="preserve"> </w:t>
      </w:r>
    </w:p>
    <w:p w14:paraId="3E6AF937">
      <w:pPr>
        <w:topLinePunct/>
        <w:spacing w:line="560" w:lineRule="exact"/>
        <w:jc w:val="center"/>
        <w:rPr>
          <w:rFonts w:ascii="方正黑体_GBK" w:eastAsia="方正黑体_GBK"/>
        </w:rPr>
      </w:pPr>
      <w:r>
        <w:rPr>
          <w:rFonts w:ascii="方正黑体_GBK" w:eastAsia="方正黑体_GBK"/>
        </w:rPr>
        <w:t>第八章  附  则</w:t>
      </w:r>
    </w:p>
    <w:p w14:paraId="67E757D4">
      <w:pPr>
        <w:pStyle w:val="2"/>
        <w:topLinePunct/>
        <w:spacing w:line="560" w:lineRule="exact"/>
        <w:ind w:firstLine="632" w:firstLineChars="200"/>
        <w:textAlignment w:val="baseline"/>
        <w:rPr>
          <w:rFonts w:eastAsia="方正仿宋_GBK"/>
        </w:rPr>
      </w:pPr>
      <w:r>
        <w:rPr>
          <w:rFonts w:eastAsia="方正仿宋_GBK"/>
        </w:rPr>
        <w:t xml:space="preserve"> </w:t>
      </w:r>
    </w:p>
    <w:p w14:paraId="6D59758D">
      <w:pPr>
        <w:pStyle w:val="2"/>
        <w:topLinePunct/>
        <w:spacing w:line="560" w:lineRule="exact"/>
        <w:ind w:firstLine="632" w:firstLineChars="200"/>
        <w:textAlignment w:val="baseline"/>
        <w:rPr>
          <w:rFonts w:eastAsia="方正仿宋_GBK"/>
        </w:rPr>
      </w:pPr>
      <w:r>
        <w:rPr>
          <w:rFonts w:hint="eastAsia" w:ascii="方正楷体_GBK" w:eastAsia="方正楷体_GBK"/>
        </w:rPr>
        <w:t>第二十五条</w:t>
      </w:r>
      <w:r>
        <w:rPr>
          <w:rFonts w:eastAsia="方正仿宋_GBK"/>
        </w:rPr>
        <w:t xml:space="preserve">  本办法由市财政局会同市委社会工作部负责解释。</w:t>
      </w:r>
    </w:p>
    <w:p w14:paraId="4190AFB3">
      <w:pPr>
        <w:topLinePunct/>
        <w:spacing w:line="560" w:lineRule="exact"/>
        <w:ind w:firstLine="632" w:firstLineChars="200"/>
        <w:textAlignment w:val="baseline"/>
        <w:rPr>
          <w:rFonts w:eastAsia="方正仿宋_GBK"/>
        </w:rPr>
      </w:pPr>
      <w:r>
        <w:rPr>
          <w:rFonts w:ascii="方正楷体_GBK" w:eastAsia="方正楷体_GBK"/>
        </w:rPr>
        <w:t xml:space="preserve">第二十六条  </w:t>
      </w:r>
      <w:r>
        <w:rPr>
          <w:rFonts w:eastAsia="方正仿宋_GBK"/>
        </w:rPr>
        <w:t>区（市）县财政、社会工作部门可结合本地实际，适时修订完善本级社区激励资金管理办法或实施细则。</w:t>
      </w:r>
    </w:p>
    <w:p w14:paraId="67A05764">
      <w:pPr>
        <w:topLinePunct/>
        <w:spacing w:line="560" w:lineRule="exact"/>
        <w:ind w:firstLine="632" w:firstLineChars="200"/>
        <w:rPr>
          <w:rFonts w:eastAsia="方正仿宋_GBK"/>
        </w:rPr>
      </w:pPr>
      <w:r>
        <w:rPr>
          <w:rFonts w:ascii="方正楷体_GBK" w:eastAsia="方正楷体_GBK"/>
        </w:rPr>
        <w:t>第二十七条</w:t>
      </w:r>
      <w:r>
        <w:rPr>
          <w:rFonts w:eastAsia="方正仿宋_GBK"/>
        </w:rPr>
        <w:t xml:space="preserve">  本办法自印发之日起施行，有效期三年。</w:t>
      </w:r>
    </w:p>
    <w:p w14:paraId="25D647B8">
      <w:pPr>
        <w:rPr>
          <w:rFonts w:hint="eastAsia"/>
        </w:rPr>
      </w:pPr>
    </w:p>
    <w:p w14:paraId="702798CD">
      <w:pPr>
        <w:rPr>
          <w:rFonts w:hint="eastAsia"/>
        </w:rPr>
      </w:pPr>
    </w:p>
    <w:p w14:paraId="124E0E7D">
      <w:pPr>
        <w:pStyle w:val="2"/>
        <w:rPr>
          <w:rFonts w:hint="eastAsia" w:eastAsia="方正仿宋_GBK" w:cs="方正仿宋_GBK"/>
          <w:kern w:val="0"/>
        </w:rPr>
      </w:pPr>
    </w:p>
    <w:p w14:paraId="2CA4C41B">
      <w:pPr>
        <w:rPr>
          <w:rFonts w:hint="eastAsia" w:eastAsia="方正仿宋_GBK" w:cs="方正仿宋_GBK"/>
          <w:kern w:val="0"/>
        </w:rPr>
      </w:pPr>
    </w:p>
    <w:p w14:paraId="46541637">
      <w:pPr>
        <w:pStyle w:val="2"/>
        <w:rPr>
          <w:rFonts w:hint="eastAsia"/>
        </w:rPr>
      </w:pPr>
    </w:p>
    <w:p w14:paraId="75AAE56F">
      <w:pPr>
        <w:rPr>
          <w:rFonts w:hint="eastAsia"/>
        </w:rPr>
      </w:pPr>
    </w:p>
    <w:p w14:paraId="79D5FDEC">
      <w:pPr>
        <w:pStyle w:val="2"/>
        <w:rPr>
          <w:rFonts w:hint="eastAsia"/>
        </w:rPr>
      </w:pPr>
    </w:p>
    <w:p w14:paraId="74F60172">
      <w:pPr>
        <w:rPr>
          <w:rFonts w:hint="eastAsia"/>
        </w:rPr>
      </w:pPr>
    </w:p>
    <w:p w14:paraId="16465938">
      <w:pPr>
        <w:pStyle w:val="2"/>
        <w:rPr>
          <w:rFonts w:hint="eastAsia"/>
        </w:rPr>
      </w:pPr>
    </w:p>
    <w:p w14:paraId="4D708F92">
      <w:pPr>
        <w:rPr>
          <w:rFonts w:hint="eastAsia"/>
        </w:rPr>
      </w:pPr>
    </w:p>
    <w:p w14:paraId="6169CE92">
      <w:pPr>
        <w:pStyle w:val="2"/>
        <w:rPr>
          <w:rFonts w:hint="eastAsia"/>
        </w:rPr>
      </w:pPr>
    </w:p>
    <w:p w14:paraId="232BC25E">
      <w:pPr>
        <w:rPr>
          <w:rFonts w:hint="eastAsia"/>
        </w:rPr>
      </w:pPr>
    </w:p>
    <w:p w14:paraId="24EC4509">
      <w:pPr>
        <w:pStyle w:val="2"/>
        <w:rPr>
          <w:rFonts w:hint="eastAsia"/>
        </w:rPr>
      </w:pPr>
    </w:p>
    <w:p w14:paraId="0D414E74">
      <w:pPr>
        <w:rPr>
          <w:rFonts w:hint="eastAsia"/>
        </w:rPr>
      </w:pPr>
    </w:p>
    <w:p w14:paraId="6138EABD">
      <w:pPr>
        <w:pStyle w:val="2"/>
        <w:rPr>
          <w:rFonts w:hint="eastAsia"/>
        </w:rPr>
      </w:pPr>
    </w:p>
    <w:p w14:paraId="535FA879">
      <w:pPr>
        <w:rPr>
          <w:rFonts w:hint="eastAsia"/>
        </w:rPr>
      </w:pPr>
    </w:p>
    <w:p w14:paraId="213C54D9">
      <w:pPr>
        <w:pStyle w:val="2"/>
        <w:rPr>
          <w:rFonts w:hint="eastAsia"/>
        </w:rPr>
      </w:pPr>
    </w:p>
    <w:p w14:paraId="6D085295">
      <w:pPr>
        <w:rPr>
          <w:rFonts w:hint="eastAsia"/>
        </w:rPr>
      </w:pPr>
    </w:p>
    <w:p w14:paraId="3BF3C888">
      <w:pPr>
        <w:rPr>
          <w:color w:val="000000"/>
        </w:rPr>
      </w:pPr>
      <w:bookmarkStart w:id="0" w:name="_GoBack"/>
      <w:bookmarkEnd w:id="0"/>
    </w:p>
    <w:sectPr>
      <w:footerReference r:id="rId3" w:type="default"/>
      <w:footerReference r:id="rId4" w:type="even"/>
      <w:pgSz w:w="11906" w:h="16838"/>
      <w:pgMar w:top="2098" w:right="1531" w:bottom="1984" w:left="1531" w:header="709" w:footer="1417" w:gutter="0"/>
      <w:cols w:space="720" w:num="1"/>
      <w:docGrid w:type="linesAndChars" w:linePitch="58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方正仿宋">
    <w:altName w:val="方正仿宋_GBK"/>
    <w:panose1 w:val="03000509000000000000"/>
    <w:charset w:val="00"/>
    <w:family w:val="script"/>
    <w:pitch w:val="default"/>
    <w:sig w:usb0="00000001" w:usb1="080E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00007A87" w:usb1="80000000" w:usb2="00000008" w:usb3="00000000" w:csb0="400001FF" w:csb1="FFFF0000"/>
  </w:font>
  <w:font w:name="Arial">
    <w:panose1 w:val="020B0604020202020204"/>
    <w:charset w:val="00"/>
    <w:family w:val="swiss"/>
    <w:pitch w:val="default"/>
    <w:sig w:usb0="00007A87" w:usb1="80000000" w:usb2="00000008" w:usb3="00000000" w:csb0="400001FF" w:csb1="FFFF0000"/>
  </w:font>
  <w:font w:name="楷体_GB2312">
    <w:panose1 w:val="02010609030101010101"/>
    <w:charset w:val="86"/>
    <w:family w:val="modern"/>
    <w:pitch w:val="default"/>
    <w:sig w:usb0="00000001" w:usb1="080E0000" w:usb2="00000000" w:usb3="00000000" w:csb0="00040000" w:csb1="00000000"/>
  </w:font>
  <w:font w:name="仿宋">
    <w:altName w:val="宋体"/>
    <w:panose1 w:val="02010609060101010101"/>
    <w:charset w:val="00"/>
    <w:family w:val="modern"/>
    <w:pitch w:val="default"/>
    <w:sig w:usb0="800002BF" w:usb1="38CF7CFA" w:usb2="00000016" w:usb3="00000000" w:csb0="00040001" w:csb1="00000000"/>
  </w:font>
  <w:font w:name="Tahoma">
    <w:panose1 w:val="020B0604030504040204"/>
    <w:charset w:val="00"/>
    <w:family w:val="swiss"/>
    <w:pitch w:val="default"/>
    <w:sig w:usb0="61007A87" w:usb1="80000000" w:usb2="00000008" w:usb3="00000000" w:csb0="200101FF" w:csb1="20280000"/>
  </w:font>
  <w:font w:name="方正小标宋_GBK">
    <w:panose1 w:val="03000509000000000000"/>
    <w:charset w:val="86"/>
    <w:family w:val="script"/>
    <w:pitch w:val="default"/>
    <w:sig w:usb0="00000001" w:usb1="080E0000" w:usb2="00000000" w:usb3="00000000" w:csb0="00040000" w:csb1="00000000"/>
  </w:font>
  <w:font w:name="方正黑体_GBK">
    <w:panose1 w:val="02000000000000000000"/>
    <w:charset w:val="86"/>
    <w:family w:val="script"/>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54FC7">
    <w:pPr>
      <w:pStyle w:val="10"/>
      <w:framePr w:wrap="around" w:vAnchor="text" w:hAnchor="margin" w:xAlign="outside" w:y="1"/>
      <w:rPr>
        <w:rStyle w:val="18"/>
        <w:rFonts w:hint="eastAsia" w:ascii="宋体" w:hAnsi="宋体" w:eastAsia="宋体"/>
        <w:sz w:val="28"/>
        <w:szCs w:val="28"/>
      </w:rPr>
    </w:pPr>
    <w:r>
      <w:rPr>
        <w:rStyle w:val="18"/>
        <w:rFonts w:hint="eastAsia" w:ascii="宋体" w:hAnsi="宋体" w:eastAsia="宋体"/>
        <w:sz w:val="28"/>
        <w:szCs w:val="28"/>
      </w:rPr>
      <w:t xml:space="preserve">— </w:t>
    </w:r>
    <w:r>
      <w:rPr>
        <w:rFonts w:ascii="宋体" w:hAnsi="宋体" w:eastAsia="宋体"/>
        <w:sz w:val="28"/>
        <w:szCs w:val="28"/>
      </w:rPr>
      <w:fldChar w:fldCharType="begin"/>
    </w:r>
    <w:r>
      <w:rPr>
        <w:rStyle w:val="18"/>
        <w:rFonts w:ascii="宋体" w:hAnsi="宋体" w:eastAsia="宋体"/>
        <w:sz w:val="28"/>
        <w:szCs w:val="28"/>
      </w:rPr>
      <w:instrText xml:space="preserve">PAGE  </w:instrText>
    </w:r>
    <w:r>
      <w:rPr>
        <w:rFonts w:ascii="宋体" w:hAnsi="宋体" w:eastAsia="宋体"/>
        <w:sz w:val="28"/>
        <w:szCs w:val="28"/>
      </w:rPr>
      <w:fldChar w:fldCharType="separate"/>
    </w:r>
    <w:r>
      <w:rPr>
        <w:rStyle w:val="18"/>
        <w:rFonts w:ascii="宋体" w:hAnsi="宋体" w:eastAsia="宋体"/>
        <w:sz w:val="28"/>
        <w:szCs w:val="28"/>
        <w:lang/>
      </w:rPr>
      <w:t>11</w:t>
    </w:r>
    <w:r>
      <w:rPr>
        <w:rFonts w:ascii="宋体" w:hAnsi="宋体" w:eastAsia="宋体"/>
        <w:sz w:val="28"/>
        <w:szCs w:val="28"/>
      </w:rPr>
      <w:fldChar w:fldCharType="end"/>
    </w:r>
    <w:r>
      <w:rPr>
        <w:rStyle w:val="18"/>
        <w:rFonts w:hint="eastAsia" w:ascii="宋体" w:hAnsi="宋体" w:eastAsia="宋体"/>
        <w:sz w:val="28"/>
        <w:szCs w:val="28"/>
      </w:rPr>
      <w:t xml:space="preserve"> —</w:t>
    </w:r>
  </w:p>
  <w:p w14:paraId="37D3D7EC">
    <w:pPr>
      <w:pStyle w:val="10"/>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75336">
    <w:pPr>
      <w:pStyle w:val="10"/>
      <w:framePr w:wrap="around" w:vAnchor="text" w:hAnchor="margin" w:xAlign="outside" w:y="1"/>
      <w:rPr>
        <w:rStyle w:val="18"/>
        <w:rFonts w:hint="eastAsia" w:ascii="宋体" w:hAnsi="宋体" w:eastAsia="宋体"/>
        <w:sz w:val="28"/>
        <w:szCs w:val="28"/>
      </w:rPr>
    </w:pPr>
    <w:r>
      <w:rPr>
        <w:rStyle w:val="18"/>
        <w:rFonts w:hint="eastAsia" w:ascii="宋体" w:hAnsi="宋体" w:eastAsia="宋体"/>
        <w:sz w:val="28"/>
        <w:szCs w:val="28"/>
      </w:rPr>
      <w:t xml:space="preserve">— </w:t>
    </w:r>
    <w:r>
      <w:rPr>
        <w:rFonts w:ascii="宋体" w:hAnsi="宋体" w:eastAsia="宋体"/>
        <w:sz w:val="28"/>
        <w:szCs w:val="28"/>
      </w:rPr>
      <w:fldChar w:fldCharType="begin"/>
    </w:r>
    <w:r>
      <w:rPr>
        <w:rStyle w:val="18"/>
        <w:rFonts w:ascii="宋体" w:hAnsi="宋体" w:eastAsia="宋体"/>
        <w:sz w:val="28"/>
        <w:szCs w:val="28"/>
      </w:rPr>
      <w:instrText xml:space="preserve">PAGE  </w:instrText>
    </w:r>
    <w:r>
      <w:rPr>
        <w:rFonts w:ascii="宋体" w:hAnsi="宋体" w:eastAsia="宋体"/>
        <w:sz w:val="28"/>
        <w:szCs w:val="28"/>
      </w:rPr>
      <w:fldChar w:fldCharType="separate"/>
    </w:r>
    <w:r>
      <w:rPr>
        <w:rStyle w:val="18"/>
        <w:rFonts w:ascii="宋体" w:hAnsi="宋体" w:eastAsia="宋体"/>
        <w:sz w:val="28"/>
        <w:szCs w:val="28"/>
        <w:lang/>
      </w:rPr>
      <w:t>12</w:t>
    </w:r>
    <w:r>
      <w:rPr>
        <w:rFonts w:ascii="宋体" w:hAnsi="宋体" w:eastAsia="宋体"/>
        <w:sz w:val="28"/>
        <w:szCs w:val="28"/>
      </w:rPr>
      <w:fldChar w:fldCharType="end"/>
    </w:r>
    <w:r>
      <w:rPr>
        <w:rStyle w:val="18"/>
        <w:rFonts w:hint="eastAsia" w:ascii="宋体" w:hAnsi="宋体" w:eastAsia="宋体"/>
        <w:sz w:val="28"/>
        <w:szCs w:val="28"/>
      </w:rPr>
      <w:t xml:space="preserve"> —</w:t>
    </w:r>
  </w:p>
  <w:p w14:paraId="426C3D32">
    <w:pPr>
      <w:pStyle w:val="10"/>
      <w:ind w:right="360" w:firstLine="360"/>
      <w:rPr>
        <w:rFonts w:hint="eastAsia"/>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58"/>
  <w:drawingGridVerticalSpacing w:val="295"/>
  <w:displayHorizontalDrawingGridEvery w:val="2"/>
  <w:displayVerticalDrawingGridEvery w:val="1"/>
  <w:noPunctuationKerning w:val="1"/>
  <w:characterSpacingControl w:val="compressPunctuation"/>
  <w:compat>
    <w:spaceForUL/>
    <w:balanceSingleByteDoubleByteWidth/>
    <w:doNotLeaveBackslashAlon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0054"/>
    <w:rsid w:val="000128F9"/>
    <w:rsid w:val="00013E94"/>
    <w:rsid w:val="0002153C"/>
    <w:rsid w:val="00021A14"/>
    <w:rsid w:val="00022BF2"/>
    <w:rsid w:val="000264FD"/>
    <w:rsid w:val="000418B4"/>
    <w:rsid w:val="000428B2"/>
    <w:rsid w:val="000437FA"/>
    <w:rsid w:val="00045729"/>
    <w:rsid w:val="00047959"/>
    <w:rsid w:val="00052218"/>
    <w:rsid w:val="00053313"/>
    <w:rsid w:val="000571F7"/>
    <w:rsid w:val="0006007A"/>
    <w:rsid w:val="000601C6"/>
    <w:rsid w:val="000621AD"/>
    <w:rsid w:val="00066BF4"/>
    <w:rsid w:val="00066FB7"/>
    <w:rsid w:val="000760AA"/>
    <w:rsid w:val="00083904"/>
    <w:rsid w:val="000900A7"/>
    <w:rsid w:val="000903D5"/>
    <w:rsid w:val="00091B0C"/>
    <w:rsid w:val="00093958"/>
    <w:rsid w:val="000968E2"/>
    <w:rsid w:val="000A0CEA"/>
    <w:rsid w:val="000A151D"/>
    <w:rsid w:val="000A7C06"/>
    <w:rsid w:val="000B1674"/>
    <w:rsid w:val="000B32A8"/>
    <w:rsid w:val="000B53FF"/>
    <w:rsid w:val="000B7371"/>
    <w:rsid w:val="000B7FBF"/>
    <w:rsid w:val="000C13C8"/>
    <w:rsid w:val="000C3201"/>
    <w:rsid w:val="000C6896"/>
    <w:rsid w:val="000C6993"/>
    <w:rsid w:val="000C7381"/>
    <w:rsid w:val="000C7E2A"/>
    <w:rsid w:val="000D05DA"/>
    <w:rsid w:val="000D5515"/>
    <w:rsid w:val="000D7A96"/>
    <w:rsid w:val="000E084B"/>
    <w:rsid w:val="000E496C"/>
    <w:rsid w:val="000E66D8"/>
    <w:rsid w:val="000F0E5C"/>
    <w:rsid w:val="000F6BAF"/>
    <w:rsid w:val="00105083"/>
    <w:rsid w:val="00107CB4"/>
    <w:rsid w:val="001128A6"/>
    <w:rsid w:val="00114963"/>
    <w:rsid w:val="001154F9"/>
    <w:rsid w:val="00127A5E"/>
    <w:rsid w:val="00127C35"/>
    <w:rsid w:val="0013491F"/>
    <w:rsid w:val="00134B67"/>
    <w:rsid w:val="00143A8C"/>
    <w:rsid w:val="001449B5"/>
    <w:rsid w:val="00146DA7"/>
    <w:rsid w:val="00161273"/>
    <w:rsid w:val="00163146"/>
    <w:rsid w:val="00164111"/>
    <w:rsid w:val="001708DA"/>
    <w:rsid w:val="001753F3"/>
    <w:rsid w:val="00175F53"/>
    <w:rsid w:val="001779F2"/>
    <w:rsid w:val="0018411B"/>
    <w:rsid w:val="001842FC"/>
    <w:rsid w:val="00184CC9"/>
    <w:rsid w:val="0018572F"/>
    <w:rsid w:val="00186818"/>
    <w:rsid w:val="00191BD4"/>
    <w:rsid w:val="00193EF0"/>
    <w:rsid w:val="0019596A"/>
    <w:rsid w:val="001959F6"/>
    <w:rsid w:val="001A3A6A"/>
    <w:rsid w:val="001A7831"/>
    <w:rsid w:val="001B3E67"/>
    <w:rsid w:val="001B4115"/>
    <w:rsid w:val="001C1791"/>
    <w:rsid w:val="001C79BF"/>
    <w:rsid w:val="001D5417"/>
    <w:rsid w:val="001E27BA"/>
    <w:rsid w:val="001E41AB"/>
    <w:rsid w:val="001E7994"/>
    <w:rsid w:val="001F5595"/>
    <w:rsid w:val="00205260"/>
    <w:rsid w:val="0020719D"/>
    <w:rsid w:val="00207F5B"/>
    <w:rsid w:val="002103B8"/>
    <w:rsid w:val="00210F92"/>
    <w:rsid w:val="00224024"/>
    <w:rsid w:val="002360B0"/>
    <w:rsid w:val="002401FA"/>
    <w:rsid w:val="00244DB2"/>
    <w:rsid w:val="00251238"/>
    <w:rsid w:val="00251406"/>
    <w:rsid w:val="00251959"/>
    <w:rsid w:val="0025521A"/>
    <w:rsid w:val="00255BD3"/>
    <w:rsid w:val="002622E3"/>
    <w:rsid w:val="00262537"/>
    <w:rsid w:val="002650EB"/>
    <w:rsid w:val="002651AD"/>
    <w:rsid w:val="00267289"/>
    <w:rsid w:val="00277BEC"/>
    <w:rsid w:val="0028752D"/>
    <w:rsid w:val="002925A3"/>
    <w:rsid w:val="00293B19"/>
    <w:rsid w:val="00293EED"/>
    <w:rsid w:val="0029709A"/>
    <w:rsid w:val="002A0422"/>
    <w:rsid w:val="002A092B"/>
    <w:rsid w:val="002A0BAD"/>
    <w:rsid w:val="002A3286"/>
    <w:rsid w:val="002A3B7B"/>
    <w:rsid w:val="002A7F4B"/>
    <w:rsid w:val="002B5DDE"/>
    <w:rsid w:val="002C05AF"/>
    <w:rsid w:val="002C4446"/>
    <w:rsid w:val="002C5CFE"/>
    <w:rsid w:val="002D06C3"/>
    <w:rsid w:val="002E1D66"/>
    <w:rsid w:val="002F6B41"/>
    <w:rsid w:val="00302C6C"/>
    <w:rsid w:val="003041BB"/>
    <w:rsid w:val="00306A17"/>
    <w:rsid w:val="0031334A"/>
    <w:rsid w:val="00321157"/>
    <w:rsid w:val="003246EC"/>
    <w:rsid w:val="00330391"/>
    <w:rsid w:val="00333DD9"/>
    <w:rsid w:val="00335BAA"/>
    <w:rsid w:val="00335E9D"/>
    <w:rsid w:val="00341AAA"/>
    <w:rsid w:val="00364B0B"/>
    <w:rsid w:val="00366BAD"/>
    <w:rsid w:val="00372ED5"/>
    <w:rsid w:val="0038124C"/>
    <w:rsid w:val="00382912"/>
    <w:rsid w:val="003A27C0"/>
    <w:rsid w:val="003C0621"/>
    <w:rsid w:val="003C1CCE"/>
    <w:rsid w:val="003C6D56"/>
    <w:rsid w:val="003D326D"/>
    <w:rsid w:val="003D6E3F"/>
    <w:rsid w:val="003E19E9"/>
    <w:rsid w:val="003F0EC9"/>
    <w:rsid w:val="003F1296"/>
    <w:rsid w:val="003F2D18"/>
    <w:rsid w:val="004001D0"/>
    <w:rsid w:val="00404C78"/>
    <w:rsid w:val="00405915"/>
    <w:rsid w:val="00415CEB"/>
    <w:rsid w:val="00417B34"/>
    <w:rsid w:val="00423331"/>
    <w:rsid w:val="00443F40"/>
    <w:rsid w:val="004558E9"/>
    <w:rsid w:val="004603E7"/>
    <w:rsid w:val="00460C6D"/>
    <w:rsid w:val="00471B46"/>
    <w:rsid w:val="00482129"/>
    <w:rsid w:val="00490A09"/>
    <w:rsid w:val="004911D8"/>
    <w:rsid w:val="00494AE8"/>
    <w:rsid w:val="004A1208"/>
    <w:rsid w:val="004A5D34"/>
    <w:rsid w:val="004B5D43"/>
    <w:rsid w:val="004C215E"/>
    <w:rsid w:val="004C6D09"/>
    <w:rsid w:val="004D6571"/>
    <w:rsid w:val="004D7BCB"/>
    <w:rsid w:val="004D7DED"/>
    <w:rsid w:val="004E0D57"/>
    <w:rsid w:val="004E6E28"/>
    <w:rsid w:val="004F11C4"/>
    <w:rsid w:val="004F2D86"/>
    <w:rsid w:val="00504A88"/>
    <w:rsid w:val="0051273E"/>
    <w:rsid w:val="00514447"/>
    <w:rsid w:val="00530E8C"/>
    <w:rsid w:val="00531945"/>
    <w:rsid w:val="005347B0"/>
    <w:rsid w:val="00535E8B"/>
    <w:rsid w:val="00540B83"/>
    <w:rsid w:val="00540FBB"/>
    <w:rsid w:val="005438C3"/>
    <w:rsid w:val="00545070"/>
    <w:rsid w:val="005454E2"/>
    <w:rsid w:val="00546CA0"/>
    <w:rsid w:val="00550CFE"/>
    <w:rsid w:val="00554DA9"/>
    <w:rsid w:val="0055546E"/>
    <w:rsid w:val="00557A70"/>
    <w:rsid w:val="00563415"/>
    <w:rsid w:val="00566F86"/>
    <w:rsid w:val="0057033D"/>
    <w:rsid w:val="00571CCE"/>
    <w:rsid w:val="00576637"/>
    <w:rsid w:val="00580EB7"/>
    <w:rsid w:val="00582539"/>
    <w:rsid w:val="0058300F"/>
    <w:rsid w:val="005839C7"/>
    <w:rsid w:val="00590DDF"/>
    <w:rsid w:val="00590DFE"/>
    <w:rsid w:val="0059265B"/>
    <w:rsid w:val="005A2F23"/>
    <w:rsid w:val="005A64D3"/>
    <w:rsid w:val="005B17D0"/>
    <w:rsid w:val="005B273F"/>
    <w:rsid w:val="005B7C41"/>
    <w:rsid w:val="005C101F"/>
    <w:rsid w:val="005C4778"/>
    <w:rsid w:val="005D1F5E"/>
    <w:rsid w:val="005D44A1"/>
    <w:rsid w:val="005D7FB5"/>
    <w:rsid w:val="005F0A27"/>
    <w:rsid w:val="005F0F2E"/>
    <w:rsid w:val="005F1FA9"/>
    <w:rsid w:val="005F3248"/>
    <w:rsid w:val="005F443C"/>
    <w:rsid w:val="00601986"/>
    <w:rsid w:val="00604A14"/>
    <w:rsid w:val="00611C1C"/>
    <w:rsid w:val="00613903"/>
    <w:rsid w:val="00614703"/>
    <w:rsid w:val="0061750B"/>
    <w:rsid w:val="00620256"/>
    <w:rsid w:val="00621077"/>
    <w:rsid w:val="00623A30"/>
    <w:rsid w:val="00637AFF"/>
    <w:rsid w:val="0064364B"/>
    <w:rsid w:val="00653311"/>
    <w:rsid w:val="0065682C"/>
    <w:rsid w:val="0066376A"/>
    <w:rsid w:val="006701C1"/>
    <w:rsid w:val="006758F9"/>
    <w:rsid w:val="00676B77"/>
    <w:rsid w:val="006826CD"/>
    <w:rsid w:val="00683BDD"/>
    <w:rsid w:val="006847DC"/>
    <w:rsid w:val="006850FA"/>
    <w:rsid w:val="006851E5"/>
    <w:rsid w:val="00686601"/>
    <w:rsid w:val="006868EC"/>
    <w:rsid w:val="00686B5F"/>
    <w:rsid w:val="00690327"/>
    <w:rsid w:val="00692628"/>
    <w:rsid w:val="00695B6C"/>
    <w:rsid w:val="006965D6"/>
    <w:rsid w:val="006A256F"/>
    <w:rsid w:val="006A3537"/>
    <w:rsid w:val="006A4357"/>
    <w:rsid w:val="006A602F"/>
    <w:rsid w:val="006B147C"/>
    <w:rsid w:val="006B1BBF"/>
    <w:rsid w:val="006B6604"/>
    <w:rsid w:val="006B6793"/>
    <w:rsid w:val="006C0DA5"/>
    <w:rsid w:val="006C283E"/>
    <w:rsid w:val="006C79EE"/>
    <w:rsid w:val="006D2CF3"/>
    <w:rsid w:val="006D5BD7"/>
    <w:rsid w:val="006D5DA1"/>
    <w:rsid w:val="006E084F"/>
    <w:rsid w:val="006E2245"/>
    <w:rsid w:val="006E4612"/>
    <w:rsid w:val="00703010"/>
    <w:rsid w:val="0072228B"/>
    <w:rsid w:val="007243AC"/>
    <w:rsid w:val="0072500E"/>
    <w:rsid w:val="00726DCD"/>
    <w:rsid w:val="0072759F"/>
    <w:rsid w:val="007326A5"/>
    <w:rsid w:val="0073518D"/>
    <w:rsid w:val="00742B92"/>
    <w:rsid w:val="0074534C"/>
    <w:rsid w:val="007461B4"/>
    <w:rsid w:val="00747689"/>
    <w:rsid w:val="00747B32"/>
    <w:rsid w:val="00763DA5"/>
    <w:rsid w:val="00767FBF"/>
    <w:rsid w:val="00772D78"/>
    <w:rsid w:val="00773C98"/>
    <w:rsid w:val="00776747"/>
    <w:rsid w:val="007801BF"/>
    <w:rsid w:val="00781DEF"/>
    <w:rsid w:val="00784DE4"/>
    <w:rsid w:val="0078595E"/>
    <w:rsid w:val="00785FC4"/>
    <w:rsid w:val="007928A5"/>
    <w:rsid w:val="00795971"/>
    <w:rsid w:val="007A5CC2"/>
    <w:rsid w:val="007A66D3"/>
    <w:rsid w:val="007C5D86"/>
    <w:rsid w:val="007C614E"/>
    <w:rsid w:val="007D4D24"/>
    <w:rsid w:val="007D768C"/>
    <w:rsid w:val="007E0236"/>
    <w:rsid w:val="007E1A12"/>
    <w:rsid w:val="007E305B"/>
    <w:rsid w:val="007F208D"/>
    <w:rsid w:val="007F4620"/>
    <w:rsid w:val="007F4755"/>
    <w:rsid w:val="008012FB"/>
    <w:rsid w:val="00803E54"/>
    <w:rsid w:val="008121E9"/>
    <w:rsid w:val="0081707E"/>
    <w:rsid w:val="008177CE"/>
    <w:rsid w:val="008238CE"/>
    <w:rsid w:val="008300F9"/>
    <w:rsid w:val="00833C41"/>
    <w:rsid w:val="00846AE5"/>
    <w:rsid w:val="0086343C"/>
    <w:rsid w:val="00870144"/>
    <w:rsid w:val="008725BB"/>
    <w:rsid w:val="008754CF"/>
    <w:rsid w:val="00875FCA"/>
    <w:rsid w:val="00892B7C"/>
    <w:rsid w:val="00893309"/>
    <w:rsid w:val="008A186D"/>
    <w:rsid w:val="008A417B"/>
    <w:rsid w:val="008A490F"/>
    <w:rsid w:val="008A608A"/>
    <w:rsid w:val="008A70BF"/>
    <w:rsid w:val="008B04EC"/>
    <w:rsid w:val="008B3303"/>
    <w:rsid w:val="008B3CCD"/>
    <w:rsid w:val="008B4F0C"/>
    <w:rsid w:val="008C4009"/>
    <w:rsid w:val="008C4883"/>
    <w:rsid w:val="008C48F3"/>
    <w:rsid w:val="008C4B05"/>
    <w:rsid w:val="008C5735"/>
    <w:rsid w:val="008C5FF0"/>
    <w:rsid w:val="008C62F3"/>
    <w:rsid w:val="008C7F8E"/>
    <w:rsid w:val="008D3A28"/>
    <w:rsid w:val="008D6A04"/>
    <w:rsid w:val="008D6FF3"/>
    <w:rsid w:val="008E0BD2"/>
    <w:rsid w:val="008E19BC"/>
    <w:rsid w:val="008E464E"/>
    <w:rsid w:val="008F7B67"/>
    <w:rsid w:val="0090700D"/>
    <w:rsid w:val="009133DD"/>
    <w:rsid w:val="00915B4D"/>
    <w:rsid w:val="00921EC6"/>
    <w:rsid w:val="00922237"/>
    <w:rsid w:val="00926EE1"/>
    <w:rsid w:val="00933BD1"/>
    <w:rsid w:val="00934A80"/>
    <w:rsid w:val="0094073C"/>
    <w:rsid w:val="00942A1E"/>
    <w:rsid w:val="009448F7"/>
    <w:rsid w:val="0094496F"/>
    <w:rsid w:val="00945283"/>
    <w:rsid w:val="00950585"/>
    <w:rsid w:val="009578EE"/>
    <w:rsid w:val="00970688"/>
    <w:rsid w:val="00971280"/>
    <w:rsid w:val="009755F6"/>
    <w:rsid w:val="009814D9"/>
    <w:rsid w:val="009820A1"/>
    <w:rsid w:val="0098239F"/>
    <w:rsid w:val="00982589"/>
    <w:rsid w:val="009967A0"/>
    <w:rsid w:val="009A2008"/>
    <w:rsid w:val="009A26FA"/>
    <w:rsid w:val="009B0164"/>
    <w:rsid w:val="009B5B80"/>
    <w:rsid w:val="009B60D8"/>
    <w:rsid w:val="009C0FC3"/>
    <w:rsid w:val="009C7935"/>
    <w:rsid w:val="009D03DA"/>
    <w:rsid w:val="009D2D7D"/>
    <w:rsid w:val="009D4496"/>
    <w:rsid w:val="009D7F95"/>
    <w:rsid w:val="009E2102"/>
    <w:rsid w:val="009E4547"/>
    <w:rsid w:val="009E79AC"/>
    <w:rsid w:val="009F4381"/>
    <w:rsid w:val="009F6A32"/>
    <w:rsid w:val="00A02AFA"/>
    <w:rsid w:val="00A03F0E"/>
    <w:rsid w:val="00A10D48"/>
    <w:rsid w:val="00A155A5"/>
    <w:rsid w:val="00A16E0E"/>
    <w:rsid w:val="00A32E60"/>
    <w:rsid w:val="00A34BAE"/>
    <w:rsid w:val="00A35A13"/>
    <w:rsid w:val="00A35EAF"/>
    <w:rsid w:val="00A37CFE"/>
    <w:rsid w:val="00A513FB"/>
    <w:rsid w:val="00A554F8"/>
    <w:rsid w:val="00A65827"/>
    <w:rsid w:val="00A7146C"/>
    <w:rsid w:val="00A77A87"/>
    <w:rsid w:val="00A8123E"/>
    <w:rsid w:val="00A817AB"/>
    <w:rsid w:val="00A81949"/>
    <w:rsid w:val="00A938E9"/>
    <w:rsid w:val="00A94DA4"/>
    <w:rsid w:val="00AA36BB"/>
    <w:rsid w:val="00AB1514"/>
    <w:rsid w:val="00AB15EF"/>
    <w:rsid w:val="00AB43FE"/>
    <w:rsid w:val="00AC007C"/>
    <w:rsid w:val="00AC0C2E"/>
    <w:rsid w:val="00AC53FB"/>
    <w:rsid w:val="00AD2150"/>
    <w:rsid w:val="00AD3F7C"/>
    <w:rsid w:val="00AD410E"/>
    <w:rsid w:val="00AD60CC"/>
    <w:rsid w:val="00AD73D3"/>
    <w:rsid w:val="00AD7421"/>
    <w:rsid w:val="00AE12DA"/>
    <w:rsid w:val="00AE4E29"/>
    <w:rsid w:val="00AE5588"/>
    <w:rsid w:val="00B01C81"/>
    <w:rsid w:val="00B03549"/>
    <w:rsid w:val="00B04219"/>
    <w:rsid w:val="00B13E79"/>
    <w:rsid w:val="00B2154F"/>
    <w:rsid w:val="00B22365"/>
    <w:rsid w:val="00B236DD"/>
    <w:rsid w:val="00B23ECA"/>
    <w:rsid w:val="00B3261D"/>
    <w:rsid w:val="00B350FF"/>
    <w:rsid w:val="00B35839"/>
    <w:rsid w:val="00B511C9"/>
    <w:rsid w:val="00B52147"/>
    <w:rsid w:val="00B656AC"/>
    <w:rsid w:val="00B661F3"/>
    <w:rsid w:val="00B72041"/>
    <w:rsid w:val="00B72AA7"/>
    <w:rsid w:val="00B83CB6"/>
    <w:rsid w:val="00B92045"/>
    <w:rsid w:val="00B94A2C"/>
    <w:rsid w:val="00B94B92"/>
    <w:rsid w:val="00BA0730"/>
    <w:rsid w:val="00BA2971"/>
    <w:rsid w:val="00BA39B0"/>
    <w:rsid w:val="00BA4E49"/>
    <w:rsid w:val="00BA6EED"/>
    <w:rsid w:val="00BA7412"/>
    <w:rsid w:val="00BB08C4"/>
    <w:rsid w:val="00BC51BD"/>
    <w:rsid w:val="00BD4C48"/>
    <w:rsid w:val="00BE1918"/>
    <w:rsid w:val="00BF0436"/>
    <w:rsid w:val="00BF093A"/>
    <w:rsid w:val="00BF31FC"/>
    <w:rsid w:val="00C116F2"/>
    <w:rsid w:val="00C13A18"/>
    <w:rsid w:val="00C151B3"/>
    <w:rsid w:val="00C1578F"/>
    <w:rsid w:val="00C23671"/>
    <w:rsid w:val="00C30C97"/>
    <w:rsid w:val="00C32302"/>
    <w:rsid w:val="00C33EC5"/>
    <w:rsid w:val="00C35351"/>
    <w:rsid w:val="00C44660"/>
    <w:rsid w:val="00C457E8"/>
    <w:rsid w:val="00C47147"/>
    <w:rsid w:val="00C50986"/>
    <w:rsid w:val="00C514B6"/>
    <w:rsid w:val="00C53DC9"/>
    <w:rsid w:val="00C54846"/>
    <w:rsid w:val="00C5534A"/>
    <w:rsid w:val="00C55967"/>
    <w:rsid w:val="00C5771E"/>
    <w:rsid w:val="00C62143"/>
    <w:rsid w:val="00C655E0"/>
    <w:rsid w:val="00C803A8"/>
    <w:rsid w:val="00C80D96"/>
    <w:rsid w:val="00C81523"/>
    <w:rsid w:val="00C82971"/>
    <w:rsid w:val="00C8595D"/>
    <w:rsid w:val="00C910A2"/>
    <w:rsid w:val="00C924FD"/>
    <w:rsid w:val="00C97A6F"/>
    <w:rsid w:val="00CA1334"/>
    <w:rsid w:val="00CB07D5"/>
    <w:rsid w:val="00CB73EF"/>
    <w:rsid w:val="00CB7AFC"/>
    <w:rsid w:val="00CC3393"/>
    <w:rsid w:val="00CC3526"/>
    <w:rsid w:val="00CC5C5D"/>
    <w:rsid w:val="00CD6DDF"/>
    <w:rsid w:val="00CE5399"/>
    <w:rsid w:val="00CF0AC9"/>
    <w:rsid w:val="00CF5047"/>
    <w:rsid w:val="00CF5D36"/>
    <w:rsid w:val="00D01EBE"/>
    <w:rsid w:val="00D022A3"/>
    <w:rsid w:val="00D04162"/>
    <w:rsid w:val="00D11518"/>
    <w:rsid w:val="00D11ACB"/>
    <w:rsid w:val="00D173D9"/>
    <w:rsid w:val="00D21185"/>
    <w:rsid w:val="00D22D01"/>
    <w:rsid w:val="00D2477C"/>
    <w:rsid w:val="00D34442"/>
    <w:rsid w:val="00D3461D"/>
    <w:rsid w:val="00D34AC9"/>
    <w:rsid w:val="00D36F77"/>
    <w:rsid w:val="00D503F1"/>
    <w:rsid w:val="00D5629F"/>
    <w:rsid w:val="00D627A7"/>
    <w:rsid w:val="00D641B1"/>
    <w:rsid w:val="00D653C5"/>
    <w:rsid w:val="00D6576C"/>
    <w:rsid w:val="00D6645D"/>
    <w:rsid w:val="00D67267"/>
    <w:rsid w:val="00D71BEA"/>
    <w:rsid w:val="00D7677C"/>
    <w:rsid w:val="00D847AA"/>
    <w:rsid w:val="00D85DB5"/>
    <w:rsid w:val="00D90EA9"/>
    <w:rsid w:val="00D95CE0"/>
    <w:rsid w:val="00D95D21"/>
    <w:rsid w:val="00DA0008"/>
    <w:rsid w:val="00DA36F0"/>
    <w:rsid w:val="00DA4576"/>
    <w:rsid w:val="00DA7BED"/>
    <w:rsid w:val="00DB46C9"/>
    <w:rsid w:val="00DB5239"/>
    <w:rsid w:val="00DC2B08"/>
    <w:rsid w:val="00DD1A94"/>
    <w:rsid w:val="00DD2E81"/>
    <w:rsid w:val="00DD53A5"/>
    <w:rsid w:val="00DE6259"/>
    <w:rsid w:val="00DE776B"/>
    <w:rsid w:val="00DF19E0"/>
    <w:rsid w:val="00DF60B1"/>
    <w:rsid w:val="00E00141"/>
    <w:rsid w:val="00E02193"/>
    <w:rsid w:val="00E02D00"/>
    <w:rsid w:val="00E03D5E"/>
    <w:rsid w:val="00E0634B"/>
    <w:rsid w:val="00E10054"/>
    <w:rsid w:val="00E35422"/>
    <w:rsid w:val="00E37806"/>
    <w:rsid w:val="00E41DEF"/>
    <w:rsid w:val="00E44B82"/>
    <w:rsid w:val="00E463ED"/>
    <w:rsid w:val="00E504AF"/>
    <w:rsid w:val="00E5055C"/>
    <w:rsid w:val="00E51254"/>
    <w:rsid w:val="00E5159B"/>
    <w:rsid w:val="00E55AA5"/>
    <w:rsid w:val="00E57A4B"/>
    <w:rsid w:val="00E6069F"/>
    <w:rsid w:val="00E670B2"/>
    <w:rsid w:val="00E72EE3"/>
    <w:rsid w:val="00E94381"/>
    <w:rsid w:val="00E950C1"/>
    <w:rsid w:val="00EA356F"/>
    <w:rsid w:val="00EA36D9"/>
    <w:rsid w:val="00EA44F3"/>
    <w:rsid w:val="00EB2567"/>
    <w:rsid w:val="00EB4236"/>
    <w:rsid w:val="00EB4703"/>
    <w:rsid w:val="00EC4A1A"/>
    <w:rsid w:val="00EC563C"/>
    <w:rsid w:val="00ED1DED"/>
    <w:rsid w:val="00ED72D5"/>
    <w:rsid w:val="00EE3FE8"/>
    <w:rsid w:val="00EE57A4"/>
    <w:rsid w:val="00EF06B7"/>
    <w:rsid w:val="00EF2025"/>
    <w:rsid w:val="00EF33B2"/>
    <w:rsid w:val="00EF4934"/>
    <w:rsid w:val="00EF7573"/>
    <w:rsid w:val="00F00211"/>
    <w:rsid w:val="00F04A8A"/>
    <w:rsid w:val="00F07C67"/>
    <w:rsid w:val="00F116C3"/>
    <w:rsid w:val="00F25A5E"/>
    <w:rsid w:val="00F334F3"/>
    <w:rsid w:val="00F33613"/>
    <w:rsid w:val="00F34A96"/>
    <w:rsid w:val="00F3628F"/>
    <w:rsid w:val="00F42C51"/>
    <w:rsid w:val="00F46D32"/>
    <w:rsid w:val="00F554EB"/>
    <w:rsid w:val="00F73838"/>
    <w:rsid w:val="00F73A02"/>
    <w:rsid w:val="00F76BA2"/>
    <w:rsid w:val="00F81B27"/>
    <w:rsid w:val="00F8458C"/>
    <w:rsid w:val="00F9319A"/>
    <w:rsid w:val="00F96A96"/>
    <w:rsid w:val="00FA20EA"/>
    <w:rsid w:val="00FC32C1"/>
    <w:rsid w:val="00FC4CE3"/>
    <w:rsid w:val="00FC7DFE"/>
    <w:rsid w:val="00FD0FB4"/>
    <w:rsid w:val="00FD11BC"/>
    <w:rsid w:val="00FD38A5"/>
    <w:rsid w:val="00FD4E44"/>
    <w:rsid w:val="00FE4978"/>
    <w:rsid w:val="00FE6136"/>
    <w:rsid w:val="00FF3D5C"/>
    <w:rsid w:val="00FF46FF"/>
    <w:rsid w:val="00FF6900"/>
    <w:rsid w:val="02D9637F"/>
    <w:rsid w:val="03B96EAB"/>
    <w:rsid w:val="05A00799"/>
    <w:rsid w:val="19384BF3"/>
    <w:rsid w:val="337E5B96"/>
    <w:rsid w:val="36DA2BC7"/>
    <w:rsid w:val="38175735"/>
    <w:rsid w:val="391028C4"/>
    <w:rsid w:val="54626784"/>
    <w:rsid w:val="54FA44EA"/>
    <w:rsid w:val="5B1014CC"/>
    <w:rsid w:val="5D1C7C2B"/>
    <w:rsid w:val="5D7E69BE"/>
    <w:rsid w:val="5EEF39D5"/>
    <w:rsid w:val="64D85C6B"/>
    <w:rsid w:val="6AF77535"/>
    <w:rsid w:val="72B92C70"/>
    <w:rsid w:val="72EB28E0"/>
    <w:rsid w:val="76086381"/>
    <w:rsid w:val="7DAB70D9"/>
    <w:rsid w:val="7FA04A12"/>
    <w:rsid w:val="B5EF1B0B"/>
    <w:rsid w:val="F7D79468"/>
    <w:rsid w:val="FBD9D026"/>
    <w:rsid w:val="FF171C1F"/>
    <w:rsid w:val="FF37808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eastAsia="方正仿宋"/>
      <w:kern w:val="2"/>
      <w:sz w:val="32"/>
      <w:szCs w:val="32"/>
      <w:lang w:val="en-US" w:eastAsia="zh-CN" w:bidi="ar-SA"/>
    </w:rPr>
  </w:style>
  <w:style w:type="character" w:default="1" w:styleId="16">
    <w:name w:val="Default Paragraph Font"/>
    <w:semiHidden/>
    <w:uiPriority w:val="0"/>
  </w:style>
  <w:style w:type="table" w:default="1" w:styleId="14">
    <w:name w:val="Normal Table"/>
    <w:semiHidden/>
    <w:uiPriority w:val="0"/>
    <w:tblPr>
      <w:tblStyle w:val="14"/>
      <w:tblCellMar>
        <w:top w:w="0" w:type="dxa"/>
        <w:left w:w="108" w:type="dxa"/>
        <w:bottom w:w="0" w:type="dxa"/>
        <w:right w:w="108" w:type="dxa"/>
      </w:tblCellMar>
    </w:tblPr>
  </w:style>
  <w:style w:type="paragraph" w:styleId="2">
    <w:name w:val="Salutation"/>
    <w:basedOn w:val="1"/>
    <w:next w:val="1"/>
    <w:uiPriority w:val="0"/>
  </w:style>
  <w:style w:type="paragraph" w:styleId="3">
    <w:name w:val="Body Text"/>
    <w:basedOn w:val="1"/>
    <w:uiPriority w:val="0"/>
    <w:pPr>
      <w:adjustRightInd w:val="0"/>
      <w:snapToGrid w:val="0"/>
      <w:jc w:val="center"/>
    </w:pPr>
    <w:rPr>
      <w:rFonts w:eastAsia="方正小标宋简体"/>
      <w:sz w:val="44"/>
      <w:szCs w:val="36"/>
    </w:rPr>
  </w:style>
  <w:style w:type="paragraph" w:styleId="4">
    <w:name w:val="Body Text Indent"/>
    <w:basedOn w:val="1"/>
    <w:uiPriority w:val="0"/>
    <w:pPr>
      <w:ind w:firstLine="640" w:firstLineChars="200"/>
    </w:pPr>
    <w:rPr>
      <w:rFonts w:ascii="仿宋_GB2312" w:eastAsia="仿宋_GB2312"/>
      <w:sz w:val="32"/>
    </w:rPr>
  </w:style>
  <w:style w:type="paragraph" w:styleId="5">
    <w:name w:val="Block Text"/>
    <w:basedOn w:val="1"/>
    <w:uiPriority w:val="0"/>
    <w:pPr>
      <w:pBdr>
        <w:top w:val="single" w:color="auto" w:sz="4" w:space="1"/>
      </w:pBdr>
      <w:ind w:left="948" w:leftChars="100" w:right="-3" w:rightChars="-1" w:hanging="632" w:hangingChars="200"/>
    </w:pPr>
    <w:rPr>
      <w:rFonts w:ascii="方正仿宋"/>
      <w:szCs w:val="32"/>
    </w:rPr>
  </w:style>
  <w:style w:type="paragraph" w:styleId="6">
    <w:name w:val="Plain Text"/>
    <w:basedOn w:val="1"/>
    <w:uiPriority w:val="0"/>
    <w:rPr>
      <w:rFonts w:ascii="宋体" w:hAnsi="Courier New" w:eastAsia="宋体"/>
      <w:sz w:val="21"/>
      <w:szCs w:val="20"/>
    </w:rPr>
  </w:style>
  <w:style w:type="paragraph" w:styleId="7">
    <w:name w:val="Date"/>
    <w:basedOn w:val="1"/>
    <w:next w:val="1"/>
    <w:uiPriority w:val="0"/>
    <w:pPr>
      <w:ind w:left="100" w:leftChars="2500"/>
    </w:pPr>
    <w:rPr>
      <w:rFonts w:ascii="仿宋_GB2312" w:eastAsia="仿宋_GB2312"/>
      <w:szCs w:val="32"/>
    </w:rPr>
  </w:style>
  <w:style w:type="paragraph" w:styleId="8">
    <w:name w:val="Body Text Indent 2"/>
    <w:basedOn w:val="1"/>
    <w:uiPriority w:val="0"/>
    <w:pPr>
      <w:ind w:firstLine="632" w:firstLineChars="200"/>
    </w:pPr>
    <w:rPr>
      <w:szCs w:val="32"/>
    </w:rPr>
  </w:style>
  <w:style w:type="paragraph" w:styleId="9">
    <w:name w:val="Balloon Text"/>
    <w:basedOn w:val="1"/>
    <w:semiHidden/>
    <w:uiPriority w:val="0"/>
    <w:rPr>
      <w:sz w:val="18"/>
      <w:szCs w:val="18"/>
    </w:rPr>
  </w:style>
  <w:style w:type="paragraph" w:styleId="10">
    <w:name w:val="footer"/>
    <w:basedOn w:val="1"/>
    <w:uiPriority w:val="0"/>
    <w:pPr>
      <w:tabs>
        <w:tab w:val="center" w:pos="4153"/>
        <w:tab w:val="right" w:pos="8306"/>
      </w:tabs>
      <w:snapToGrid w:val="0"/>
      <w:jc w:val="left"/>
    </w:pPr>
    <w:rPr>
      <w:sz w:val="18"/>
      <w:szCs w:val="18"/>
    </w:rPr>
  </w:style>
  <w:style w:type="paragraph" w:styleId="11">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12">
    <w:name w:val="Body Text Indent 3"/>
    <w:basedOn w:val="1"/>
    <w:uiPriority w:val="0"/>
    <w:pPr>
      <w:ind w:firstLine="660"/>
    </w:pPr>
    <w:rPr>
      <w:rFonts w:eastAsia="仿宋_GB2312"/>
    </w:rPr>
  </w:style>
  <w:style w:type="paragraph" w:styleId="13">
    <w:name w:val="Body Text First Indent"/>
    <w:basedOn w:val="3"/>
    <w:uiPriority w:val="0"/>
    <w:pPr>
      <w:adjustRightInd/>
      <w:snapToGrid/>
      <w:spacing w:after="120"/>
      <w:ind w:firstLine="420" w:firstLineChars="100"/>
      <w:jc w:val="both"/>
    </w:pPr>
    <w:rPr>
      <w:rFonts w:eastAsia="方正仿宋"/>
      <w:sz w:val="32"/>
      <w:szCs w:val="32"/>
    </w:rPr>
  </w:style>
  <w:style w:type="table" w:styleId="15">
    <w:name w:val="Table Grid"/>
    <w:basedOn w:val="14"/>
    <w:uiPriority w:val="0"/>
    <w:pPr>
      <w:widowControl w:val="0"/>
      <w:jc w:val="both"/>
    </w:pPr>
    <w:tblPr>
      <w:tblStyle w:val="14"/>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qFormat/>
    <w:uiPriority w:val="0"/>
    <w:rPr>
      <w:b/>
      <w:bCs/>
    </w:rPr>
  </w:style>
  <w:style w:type="character" w:styleId="18">
    <w:name w:val="page number"/>
    <w:basedOn w:val="16"/>
    <w:uiPriority w:val="0"/>
  </w:style>
  <w:style w:type="character" w:styleId="19">
    <w:name w:val="Hyperlink"/>
    <w:uiPriority w:val="0"/>
    <w:rPr>
      <w:color w:val="0000FF"/>
      <w:u w:val="single"/>
    </w:rPr>
  </w:style>
  <w:style w:type="character" w:customStyle="1" w:styleId="20">
    <w:name w:val="font01"/>
    <w:basedOn w:val="16"/>
    <w:uiPriority w:val="0"/>
    <w:rPr>
      <w:rFonts w:ascii="Arial" w:hAnsi="Arial" w:cs="Arial"/>
      <w:color w:val="000000"/>
      <w:sz w:val="12"/>
      <w:szCs w:val="12"/>
      <w:u w:val="none"/>
    </w:rPr>
  </w:style>
  <w:style w:type="character" w:customStyle="1" w:styleId="21">
    <w:name w:val="font11"/>
    <w:basedOn w:val="16"/>
    <w:uiPriority w:val="0"/>
    <w:rPr>
      <w:rFonts w:hint="eastAsia" w:ascii="楷体_GB2312" w:eastAsia="楷体_GB2312"/>
      <w:b/>
      <w:bCs/>
      <w:color w:val="000000"/>
      <w:sz w:val="24"/>
      <w:szCs w:val="24"/>
      <w:u w:val="none"/>
    </w:rPr>
  </w:style>
  <w:style w:type="character" w:customStyle="1" w:styleId="22">
    <w:name w:val="font101"/>
    <w:basedOn w:val="16"/>
    <w:uiPriority w:val="0"/>
    <w:rPr>
      <w:rFonts w:hint="eastAsia" w:ascii="宋体" w:hAnsi="宋体" w:eastAsia="宋体" w:cs="宋体"/>
      <w:color w:val="000000"/>
      <w:sz w:val="12"/>
      <w:szCs w:val="12"/>
      <w:u w:val="none"/>
    </w:rPr>
  </w:style>
  <w:style w:type="character" w:customStyle="1" w:styleId="23">
    <w:name w:val="font51"/>
    <w:basedOn w:val="16"/>
    <w:uiPriority w:val="0"/>
    <w:rPr>
      <w:rFonts w:hint="default" w:ascii="仿宋_GB2312" w:eastAsia="仿宋_GB2312" w:cs="仿宋_GB2312"/>
      <w:color w:val="000000"/>
      <w:sz w:val="12"/>
      <w:szCs w:val="12"/>
      <w:u w:val="none"/>
    </w:rPr>
  </w:style>
  <w:style w:type="character" w:customStyle="1" w:styleId="24">
    <w:name w:val="font41"/>
    <w:basedOn w:val="16"/>
    <w:uiPriority w:val="0"/>
    <w:rPr>
      <w:rFonts w:hint="default" w:ascii="Times New Roman" w:hAnsi="Times New Roman" w:cs="Times New Roman"/>
      <w:color w:val="000000"/>
      <w:sz w:val="38"/>
      <w:szCs w:val="38"/>
      <w:u w:val="none"/>
    </w:rPr>
  </w:style>
  <w:style w:type="character" w:customStyle="1" w:styleId="25">
    <w:name w:val="font31"/>
    <w:basedOn w:val="16"/>
    <w:uiPriority w:val="0"/>
    <w:rPr>
      <w:rFonts w:hint="default" w:ascii="Times New Roman" w:hAnsi="Times New Roman" w:cs="Times New Roman"/>
      <w:color w:val="000000"/>
      <w:sz w:val="44"/>
      <w:szCs w:val="44"/>
      <w:u w:val="none"/>
    </w:rPr>
  </w:style>
  <w:style w:type="character" w:customStyle="1" w:styleId="26">
    <w:name w:val="font71"/>
    <w:basedOn w:val="16"/>
    <w:uiPriority w:val="0"/>
    <w:rPr>
      <w:rFonts w:hint="eastAsia" w:ascii="楷体_GB2312" w:eastAsia="楷体_GB2312" w:cs="楷体_GB2312"/>
      <w:b/>
      <w:color w:val="000000"/>
      <w:sz w:val="14"/>
      <w:szCs w:val="14"/>
      <w:u w:val="none"/>
    </w:rPr>
  </w:style>
  <w:style w:type="character" w:customStyle="1" w:styleId="27">
    <w:name w:val="font21"/>
    <w:basedOn w:val="16"/>
    <w:uiPriority w:val="0"/>
    <w:rPr>
      <w:rFonts w:hint="eastAsia" w:ascii="方正小标宋简体" w:eastAsia="方正小标宋简体"/>
      <w:color w:val="000000"/>
      <w:sz w:val="32"/>
      <w:szCs w:val="32"/>
      <w:u w:val="none"/>
    </w:rPr>
  </w:style>
  <w:style w:type="character" w:customStyle="1" w:styleId="28">
    <w:name w:val="font61"/>
    <w:basedOn w:val="16"/>
    <w:uiPriority w:val="0"/>
    <w:rPr>
      <w:rFonts w:ascii="宋体" w:hAnsi="宋体" w:eastAsia="宋体" w:cs="宋体"/>
      <w:color w:val="000000"/>
      <w:sz w:val="12"/>
      <w:szCs w:val="12"/>
      <w:u w:val="none"/>
    </w:rPr>
  </w:style>
  <w:style w:type="paragraph" w:customStyle="1" w:styleId="29">
    <w:name w:val="Table Text"/>
    <w:basedOn w:val="1"/>
    <w:semiHidden/>
    <w:uiPriority w:val="0"/>
    <w:rPr>
      <w:rFonts w:ascii="仿宋" w:hAnsi="仿宋" w:eastAsia="仿宋" w:cs="宋体"/>
      <w:sz w:val="28"/>
      <w:szCs w:val="28"/>
    </w:rPr>
  </w:style>
  <w:style w:type="paragraph" w:customStyle="1" w:styleId="30">
    <w:name w:val="Default Text"/>
    <w:basedOn w:val="1"/>
    <w:uiPriority w:val="0"/>
    <w:pPr>
      <w:widowControl/>
      <w:overflowPunct w:val="0"/>
      <w:autoSpaceDE w:val="0"/>
      <w:autoSpaceDN w:val="0"/>
      <w:adjustRightInd w:val="0"/>
      <w:jc w:val="left"/>
      <w:textAlignment w:val="baseline"/>
    </w:pPr>
    <w:rPr>
      <w:rFonts w:eastAsia="宋体"/>
      <w:kern w:val="0"/>
      <w:sz w:val="24"/>
      <w:szCs w:val="20"/>
    </w:rPr>
  </w:style>
  <w:style w:type="paragraph" w:customStyle="1" w:styleId="31">
    <w:name w:val="Char1"/>
    <w:basedOn w:val="1"/>
    <w:uiPriority w:val="0"/>
    <w:pPr>
      <w:widowControl/>
      <w:spacing w:after="160" w:line="240" w:lineRule="exact"/>
      <w:jc w:val="left"/>
    </w:pPr>
    <w:rPr>
      <w:rFonts w:ascii="Tahoma" w:hAnsi="Tahoma" w:eastAsia="宋体"/>
      <w:kern w:val="0"/>
      <w:sz w:val="24"/>
      <w:szCs w:val="24"/>
      <w:lang w:eastAsia="en-US"/>
    </w:rPr>
  </w:style>
  <w:style w:type="paragraph" w:customStyle="1" w:styleId="32">
    <w:name w:val="普通(网站)1"/>
    <w:basedOn w:val="1"/>
    <w:uiPriority w:val="0"/>
    <w:pPr>
      <w:spacing w:before="100" w:beforeAutospacing="1" w:after="100" w:afterAutospacing="1"/>
      <w:jc w:val="left"/>
    </w:pPr>
    <w:rPr>
      <w:rFonts w:ascii="Calibri" w:hAnsi="Calibri" w:eastAsia="宋体"/>
      <w:kern w:val="0"/>
      <w:sz w:val="24"/>
      <w:szCs w:val="24"/>
    </w:rPr>
  </w:style>
  <w:style w:type="paragraph" w:customStyle="1" w:styleId="33">
    <w:name w:val=" Char Char"/>
    <w:basedOn w:val="1"/>
    <w:uiPriority w:val="0"/>
    <w:rPr>
      <w:rFonts w:eastAsia="宋体"/>
      <w:sz w:val="21"/>
      <w:szCs w:val="21"/>
    </w:rPr>
  </w:style>
  <w:style w:type="paragraph" w:customStyle="1" w:styleId="34">
    <w:name w:val="NormalIndent"/>
    <w:basedOn w:val="1"/>
    <w:qFormat/>
    <w:uiPriority w:val="0"/>
    <w:pPr>
      <w:ind w:firstLine="420" w:firstLineChars="200"/>
    </w:pPr>
  </w:style>
  <w:style w:type="paragraph" w:customStyle="1" w:styleId="35">
    <w:name w:val="BodyText"/>
    <w:basedOn w:val="1"/>
    <w:next w:val="1"/>
    <w:uiPriority w:val="0"/>
    <w:rPr>
      <w:rFonts w:eastAsia="宋体" w:cs="宋体"/>
      <w:sz w:val="28"/>
      <w:szCs w:val="28"/>
    </w:rPr>
  </w:style>
  <w:style w:type="paragraph" w:customStyle="1" w:styleId="36">
    <w:name w:val=" Char"/>
    <w:basedOn w:val="1"/>
    <w:uiPriority w:val="0"/>
    <w:pPr>
      <w:spacing w:line="360" w:lineRule="auto"/>
      <w:ind w:firstLine="551" w:firstLineChars="196"/>
    </w:pPr>
    <w:rPr>
      <w:rFonts w:eastAsia="宋体"/>
      <w:b/>
      <w:sz w:val="28"/>
      <w:szCs w:val="28"/>
    </w:rPr>
  </w:style>
  <w:style w:type="paragraph" w:customStyle="1" w:styleId="37">
    <w:name w:val=" Char Char Char Char Char Char Char"/>
    <w:basedOn w:val="1"/>
    <w:uiPriority w:val="0"/>
    <w:rPr>
      <w:rFonts w:eastAsia="宋体"/>
      <w:sz w:val="21"/>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Template>
  <Company>Microsoft China</Company>
  <Pages>9</Pages>
  <Words>651</Words>
  <Characters>3716</Characters>
  <Lines>30</Lines>
  <Paragraphs>8</Paragraphs>
  <TotalTime>1</TotalTime>
  <ScaleCrop>false</ScaleCrop>
  <LinksUpToDate>false</LinksUpToDate>
  <CharactersWithSpaces>4359</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2026-07-22T15:28:00Z</dcterms:created>
  <dc:creator>dell</dc:creator>
  <cp:lastModifiedBy>uos</cp:lastModifiedBy>
  <cp:lastPrinted>2026-07-22T14:46:00Z</cp:lastPrinted>
  <dcterms:modified xsi:type="dcterms:W3CDTF">2026-07-22T16:15:18Z</dcterms:modified>
  <dc:title>关于局党组各成员负责联系各支部开展先进性</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DE94317920B8B9429C7A606AD88DFF65_43</vt:lpwstr>
  </property>
</Properties>
</file>