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044EC">
      <w:pPr>
        <w:snapToGrid w:val="0"/>
        <w:spacing w:line="580" w:lineRule="exact"/>
        <w:rPr>
          <w:rFonts w:hint="eastAsia" w:ascii="黑体" w:hAnsi="黑体" w:eastAsia="黑体" w:cs="Times New Roman"/>
          <w:sz w:val="32"/>
          <w:szCs w:val="20"/>
        </w:rPr>
      </w:pPr>
      <w:r>
        <w:rPr>
          <w:rFonts w:hint="eastAsia" w:ascii="黑体" w:hAnsi="黑体" w:eastAsia="黑体" w:cs="Times New Roman"/>
          <w:sz w:val="32"/>
          <w:szCs w:val="20"/>
        </w:rPr>
        <w:t>附件2</w:t>
      </w:r>
    </w:p>
    <w:p w14:paraId="1B4AC884">
      <w:pPr>
        <w:snapToGrid w:val="0"/>
        <w:spacing w:line="580" w:lineRule="exact"/>
        <w:ind w:firstLine="640" w:firstLineChars="200"/>
        <w:rPr>
          <w:rFonts w:ascii="仿宋_GB2312" w:hAnsi="Times New Roman" w:eastAsia="仿宋_GB2312" w:cs="Times New Roman"/>
          <w:sz w:val="32"/>
          <w:szCs w:val="20"/>
        </w:rPr>
      </w:pPr>
    </w:p>
    <w:p w14:paraId="0C3F90E0">
      <w:pPr>
        <w:snapToGrid w:val="0"/>
        <w:spacing w:line="580" w:lineRule="exact"/>
        <w:jc w:val="center"/>
        <w:rPr>
          <w:rFonts w:hint="eastAsia"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lang w:eastAsia="zh-CN"/>
        </w:rPr>
        <w:t>成都市</w:t>
      </w:r>
      <w:r>
        <w:rPr>
          <w:rFonts w:hint="eastAsia" w:ascii="方正小标宋简体" w:hAnsi="Times New Roman" w:eastAsia="方正小标宋简体" w:cs="Times New Roman"/>
          <w:sz w:val="44"/>
          <w:szCs w:val="44"/>
        </w:rPr>
        <w:t>职业健康专家库管理使用要求</w:t>
      </w:r>
    </w:p>
    <w:p w14:paraId="739CF70E">
      <w:pPr>
        <w:snapToGrid w:val="0"/>
        <w:spacing w:line="580" w:lineRule="exact"/>
        <w:ind w:firstLine="640" w:firstLineChars="200"/>
        <w:rPr>
          <w:rFonts w:ascii="仿宋_GB2312" w:hAnsi="Times New Roman" w:eastAsia="仿宋_GB2312" w:cs="Times New Roman"/>
          <w:sz w:val="32"/>
          <w:szCs w:val="20"/>
        </w:rPr>
      </w:pPr>
    </w:p>
    <w:p w14:paraId="2994E3F8">
      <w:pPr>
        <w:snapToGrid w:val="0"/>
        <w:spacing w:line="580" w:lineRule="exact"/>
        <w:ind w:firstLine="640" w:firstLineChars="200"/>
        <w:rPr>
          <w:rFonts w:hint="eastAsia" w:ascii="黑体" w:hAnsi="黑体" w:eastAsia="黑体" w:cs="Times New Roman"/>
          <w:sz w:val="32"/>
          <w:szCs w:val="20"/>
        </w:rPr>
      </w:pPr>
      <w:r>
        <w:rPr>
          <w:rFonts w:hint="eastAsia" w:ascii="黑体" w:hAnsi="黑体" w:eastAsia="黑体" w:cs="Times New Roman"/>
          <w:sz w:val="32"/>
          <w:szCs w:val="20"/>
        </w:rPr>
        <w:t>一、专家库设置说明</w:t>
      </w:r>
    </w:p>
    <w:p w14:paraId="78D463D7">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（一）</w:t>
      </w:r>
      <w:r>
        <w:rPr>
          <w:rFonts w:hint="eastAsia" w:ascii="仿宋_GB2312" w:hAnsi="Times New Roman" w:eastAsia="仿宋_GB2312" w:cs="Times New Roman"/>
          <w:sz w:val="32"/>
          <w:szCs w:val="20"/>
          <w:lang w:eastAsia="zh-CN"/>
        </w:rPr>
        <w:t>成都市</w:t>
      </w:r>
      <w:r>
        <w:rPr>
          <w:rFonts w:hint="eastAsia" w:ascii="仿宋_GB2312" w:hAnsi="Times New Roman" w:eastAsia="仿宋_GB2312" w:cs="Times New Roman"/>
          <w:sz w:val="32"/>
          <w:szCs w:val="20"/>
        </w:rPr>
        <w:t>职业健康专家库遵循公平、公开、公正的原则组建，并按照统一建设、科学管理、规范使用、持续完善的原则进行建设和运行。</w:t>
      </w:r>
    </w:p>
    <w:p w14:paraId="716AB1CF">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（二）专家库下设综合</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、职业卫生</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、放射卫生</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w:t>
      </w:r>
      <w:r>
        <w:rPr>
          <w:rFonts w:hint="eastAsia" w:ascii="仿宋_GB2312" w:hAnsi="Times New Roman" w:eastAsia="仿宋_GB2312" w:cs="Times New Roman"/>
          <w:sz w:val="32"/>
          <w:szCs w:val="20"/>
          <w:highlight w:val="none"/>
        </w:rPr>
        <w:t>职业病诊疗</w:t>
      </w:r>
      <w:r>
        <w:rPr>
          <w:rFonts w:hint="eastAsia" w:ascii="仿宋_GB2312" w:hAnsi="Times New Roman" w:eastAsia="仿宋_GB2312" w:cs="Times New Roman"/>
          <w:sz w:val="32"/>
          <w:szCs w:val="20"/>
          <w:highlight w:val="none"/>
          <w:lang w:eastAsia="zh-CN"/>
        </w:rPr>
        <w:t>组</w:t>
      </w:r>
      <w:r>
        <w:rPr>
          <w:rFonts w:hint="eastAsia" w:ascii="仿宋_GB2312" w:hAnsi="Times New Roman" w:eastAsia="仿宋_GB2312" w:cs="Times New Roman"/>
          <w:sz w:val="32"/>
          <w:szCs w:val="20"/>
          <w:lang w:eastAsia="zh-CN"/>
        </w:rPr>
        <w:t>四</w:t>
      </w:r>
      <w:r>
        <w:rPr>
          <w:rFonts w:hint="eastAsia" w:ascii="仿宋_GB2312" w:hAnsi="Times New Roman" w:eastAsia="仿宋_GB2312" w:cs="Times New Roman"/>
          <w:sz w:val="32"/>
          <w:szCs w:val="20"/>
        </w:rPr>
        <w:t>个专业组，具体设置如下：</w:t>
      </w:r>
    </w:p>
    <w:p w14:paraId="55B0BB75">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1.综合</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：包含</w:t>
      </w:r>
      <w:r>
        <w:rPr>
          <w:rFonts w:hint="eastAsia" w:ascii="仿宋_GB2312" w:hAnsi="Times New Roman" w:eastAsia="仿宋_GB2312" w:cs="Times New Roman"/>
          <w:sz w:val="32"/>
          <w:szCs w:val="20"/>
          <w:lang w:eastAsia="zh-CN"/>
        </w:rPr>
        <w:t>职业卫生及放射卫生管理、职业健康政策法规、宣传教育、监督执法与职业病危害事故（核事故医学）应急等。</w:t>
      </w:r>
    </w:p>
    <w:p w14:paraId="20BBA4B4">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2.职业卫生</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w:t>
      </w:r>
      <w:r>
        <w:rPr>
          <w:rFonts w:hint="eastAsia" w:ascii="仿宋_GB2312" w:hAnsi="Times New Roman" w:eastAsia="仿宋_GB2312" w:cs="Times New Roman"/>
          <w:sz w:val="32"/>
          <w:szCs w:val="20"/>
          <w:lang w:eastAsia="zh-CN"/>
        </w:rPr>
        <w:t>包含职业卫生检测与评价、职业卫生工程防护、</w:t>
      </w:r>
      <w:r>
        <w:rPr>
          <w:rFonts w:hint="eastAsia" w:ascii="仿宋_GB2312" w:hAnsi="Times New Roman" w:eastAsia="仿宋_GB2312" w:cs="Times New Roman"/>
          <w:sz w:val="32"/>
          <w:szCs w:val="20"/>
          <w:highlight w:val="none"/>
          <w:lang w:eastAsia="zh-CN"/>
        </w:rPr>
        <w:t>职业病危害事故</w:t>
      </w:r>
      <w:r>
        <w:rPr>
          <w:rFonts w:hint="eastAsia" w:ascii="仿宋_GB2312" w:hAnsi="Times New Roman" w:eastAsia="仿宋_GB2312" w:cs="Times New Roman"/>
          <w:sz w:val="32"/>
          <w:szCs w:val="20"/>
          <w:highlight w:val="none"/>
          <w:lang w:val="en-US" w:eastAsia="zh-CN"/>
        </w:rPr>
        <w:t>卫生应急</w:t>
      </w:r>
      <w:r>
        <w:rPr>
          <w:rFonts w:hint="eastAsia" w:ascii="仿宋_GB2312" w:hAnsi="Times New Roman" w:eastAsia="仿宋_GB2312" w:cs="Times New Roman"/>
          <w:sz w:val="32"/>
          <w:szCs w:val="20"/>
          <w:highlight w:val="none"/>
          <w:lang w:eastAsia="zh-CN"/>
        </w:rPr>
        <w:t>、</w:t>
      </w:r>
      <w:r>
        <w:rPr>
          <w:rFonts w:hint="eastAsia" w:ascii="仿宋_GB2312" w:hAnsi="Times New Roman" w:eastAsia="仿宋_GB2312" w:cs="Times New Roman"/>
          <w:sz w:val="32"/>
          <w:szCs w:val="20"/>
          <w:lang w:eastAsia="zh-CN"/>
        </w:rPr>
        <w:t>职业卫生质量控制与管理等。</w:t>
      </w:r>
    </w:p>
    <w:p w14:paraId="48E78D18">
      <w:pPr>
        <w:snapToGrid w:val="0"/>
        <w:spacing w:line="580" w:lineRule="exact"/>
        <w:ind w:firstLine="640" w:firstLineChars="200"/>
        <w:rPr>
          <w:rFonts w:hint="eastAsia" w:ascii="仿宋_GB2312" w:hAnsi="Times New Roman" w:eastAsia="仿宋_GB2312" w:cs="Times New Roman"/>
          <w:sz w:val="32"/>
          <w:szCs w:val="20"/>
          <w:highlight w:val="none"/>
          <w:lang w:eastAsia="zh-CN"/>
        </w:rPr>
      </w:pPr>
      <w:r>
        <w:rPr>
          <w:rFonts w:hint="eastAsia" w:ascii="仿宋_GB2312" w:hAnsi="Times New Roman" w:eastAsia="仿宋_GB2312" w:cs="Times New Roman"/>
          <w:sz w:val="32"/>
          <w:szCs w:val="20"/>
        </w:rPr>
        <w:t>3.放射卫生</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w:t>
      </w:r>
      <w:r>
        <w:rPr>
          <w:rFonts w:hint="eastAsia" w:ascii="仿宋_GB2312" w:hAnsi="Times New Roman" w:eastAsia="仿宋_GB2312" w:cs="Times New Roman"/>
          <w:sz w:val="32"/>
          <w:szCs w:val="20"/>
          <w:lang w:eastAsia="zh-CN"/>
        </w:rPr>
        <w:t>包含放射卫生检测与评价、</w:t>
      </w:r>
      <w:r>
        <w:rPr>
          <w:rFonts w:hint="eastAsia" w:ascii="仿宋_GB2312" w:hAnsi="Times New Roman" w:eastAsia="仿宋_GB2312" w:cs="Times New Roman"/>
          <w:sz w:val="32"/>
          <w:szCs w:val="20"/>
          <w:highlight w:val="none"/>
          <w:lang w:eastAsia="zh-CN"/>
        </w:rPr>
        <w:t>放射卫生工程防护、放射诊疗与核事故医学应急、放射卫生监督管理</w:t>
      </w:r>
      <w:r>
        <w:rPr>
          <w:rFonts w:hint="eastAsia" w:ascii="仿宋_GB2312" w:hAnsi="Times New Roman" w:eastAsia="仿宋_GB2312" w:cs="Times New Roman"/>
          <w:sz w:val="32"/>
          <w:szCs w:val="20"/>
          <w:highlight w:val="none"/>
          <w:lang w:val="en-US" w:eastAsia="zh-CN"/>
        </w:rPr>
        <w:t>和放射卫生质量控制</w:t>
      </w:r>
      <w:r>
        <w:rPr>
          <w:rFonts w:hint="eastAsia" w:ascii="仿宋_GB2312" w:hAnsi="Times New Roman" w:eastAsia="仿宋_GB2312" w:cs="Times New Roman"/>
          <w:sz w:val="32"/>
          <w:szCs w:val="20"/>
          <w:highlight w:val="none"/>
          <w:lang w:eastAsia="zh-CN"/>
        </w:rPr>
        <w:t>等。</w:t>
      </w:r>
    </w:p>
    <w:p w14:paraId="0584A472">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4.职业病诊疗</w:t>
      </w:r>
      <w:r>
        <w:rPr>
          <w:rFonts w:hint="eastAsia" w:ascii="仿宋_GB2312" w:hAnsi="Times New Roman" w:eastAsia="仿宋_GB2312" w:cs="Times New Roman"/>
          <w:sz w:val="32"/>
          <w:szCs w:val="20"/>
          <w:lang w:eastAsia="zh-CN"/>
        </w:rPr>
        <w:t>组</w:t>
      </w:r>
      <w:r>
        <w:rPr>
          <w:rFonts w:hint="eastAsia" w:ascii="仿宋_GB2312" w:hAnsi="Times New Roman" w:eastAsia="仿宋_GB2312" w:cs="Times New Roman"/>
          <w:sz w:val="32"/>
          <w:szCs w:val="20"/>
        </w:rPr>
        <w:t>：包含职业健康检查（含放射工作人员职业健康检查）、职业病诊断、职业病治疗及质量控制</w:t>
      </w:r>
      <w:r>
        <w:rPr>
          <w:rFonts w:hint="eastAsia" w:ascii="仿宋_GB2312" w:hAnsi="Times New Roman" w:eastAsia="仿宋_GB2312" w:cs="Times New Roman"/>
          <w:sz w:val="32"/>
          <w:szCs w:val="20"/>
          <w:lang w:eastAsia="zh-CN"/>
        </w:rPr>
        <w:t>。</w:t>
      </w:r>
    </w:p>
    <w:p w14:paraId="0DC66452">
      <w:pPr>
        <w:snapToGrid w:val="0"/>
        <w:spacing w:line="580" w:lineRule="exact"/>
        <w:ind w:firstLine="640" w:firstLineChars="200"/>
        <w:rPr>
          <w:rFonts w:hint="eastAsia" w:ascii="黑体" w:hAnsi="黑体" w:eastAsia="黑体" w:cs="Times New Roman"/>
          <w:sz w:val="32"/>
          <w:szCs w:val="20"/>
        </w:rPr>
      </w:pPr>
      <w:r>
        <w:rPr>
          <w:rFonts w:hint="eastAsia" w:ascii="黑体" w:hAnsi="黑体" w:eastAsia="黑体" w:cs="Times New Roman"/>
          <w:sz w:val="32"/>
          <w:szCs w:val="20"/>
        </w:rPr>
        <w:t>二、专家职责和工作要求</w:t>
      </w:r>
    </w:p>
    <w:p w14:paraId="649F2E50">
      <w:pPr>
        <w:snapToGrid w:val="0"/>
        <w:spacing w:line="580" w:lineRule="exact"/>
        <w:ind w:firstLine="640" w:firstLineChars="200"/>
        <w:rPr>
          <w:rFonts w:hint="eastAsia" w:ascii="仿宋_GB2312" w:hAnsi="Times New Roman" w:eastAsia="仿宋_GB2312" w:cs="Times New Roman"/>
          <w:sz w:val="32"/>
          <w:szCs w:val="20"/>
        </w:rPr>
      </w:pPr>
      <w:r>
        <w:rPr>
          <w:rFonts w:hint="eastAsia" w:ascii="楷体" w:hAnsi="楷体" w:eastAsia="楷体" w:cs="楷体"/>
          <w:b w:val="0"/>
          <w:bCs w:val="0"/>
          <w:sz w:val="32"/>
          <w:szCs w:val="20"/>
        </w:rPr>
        <w:t>（一）职业健康专家在各自的专业范围内认真履行以下工作职责：</w:t>
      </w:r>
    </w:p>
    <w:p w14:paraId="23629E99">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1.参与职业病防治规划、政策措施、法规标准的咨询、研究、论证等工作；</w:t>
      </w:r>
    </w:p>
    <w:p w14:paraId="5DE24CA7">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2.参加职业病危害专项治理、专项督查与执法等活动；</w:t>
      </w:r>
    </w:p>
    <w:p w14:paraId="571ADA21">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3.参加职业病危害事故的调查、技术分析、风险评估和处理处置等工作；</w:t>
      </w:r>
    </w:p>
    <w:p w14:paraId="69191BCC">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4.参加职业健康行政审批相关的评审、监督检查等工作；</w:t>
      </w:r>
    </w:p>
    <w:p w14:paraId="5E6144F0">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5.参加职业病危害工程防护、职业（放射）卫生技术服务、职业健康检查、职业病诊断和鉴定等相关的评审和质控督导工作；</w:t>
      </w:r>
    </w:p>
    <w:p w14:paraId="09F790AB">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6.参加职业健康宣传教育、培训、科普等工作；</w:t>
      </w:r>
    </w:p>
    <w:p w14:paraId="69A426CC">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7.完成</w:t>
      </w:r>
      <w:r>
        <w:rPr>
          <w:rFonts w:hint="eastAsia" w:ascii="仿宋_GB2312" w:hAnsi="Times New Roman" w:eastAsia="仿宋_GB2312" w:cs="Times New Roman"/>
          <w:sz w:val="32"/>
          <w:szCs w:val="20"/>
          <w:lang w:eastAsia="zh-CN"/>
        </w:rPr>
        <w:t>市</w:t>
      </w:r>
      <w:r>
        <w:rPr>
          <w:rFonts w:hint="eastAsia" w:ascii="仿宋_GB2312" w:hAnsi="Times New Roman" w:eastAsia="仿宋_GB2312" w:cs="Times New Roman"/>
          <w:sz w:val="32"/>
          <w:szCs w:val="20"/>
        </w:rPr>
        <w:t>卫健委指派的其他工作。</w:t>
      </w:r>
    </w:p>
    <w:p w14:paraId="471F7CA3">
      <w:pPr>
        <w:snapToGrid w:val="0"/>
        <w:spacing w:line="580" w:lineRule="exact"/>
        <w:ind w:firstLine="640" w:firstLineChars="200"/>
        <w:rPr>
          <w:rFonts w:hint="eastAsia" w:ascii="仿宋_GB2312" w:hAnsi="Times New Roman" w:eastAsia="仿宋_GB2312" w:cs="Times New Roman"/>
          <w:sz w:val="32"/>
          <w:szCs w:val="20"/>
        </w:rPr>
      </w:pPr>
      <w:r>
        <w:rPr>
          <w:rFonts w:hint="eastAsia" w:ascii="楷体" w:hAnsi="楷体" w:eastAsia="楷体" w:cs="楷体"/>
          <w:b w:val="0"/>
          <w:bCs w:val="0"/>
          <w:sz w:val="32"/>
          <w:szCs w:val="20"/>
        </w:rPr>
        <w:t>（二）职业健康专家应严格遵守以下工作要求：</w:t>
      </w:r>
    </w:p>
    <w:p w14:paraId="4F305275">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1.及时掌握</w:t>
      </w:r>
      <w:r>
        <w:rPr>
          <w:rFonts w:hint="eastAsia" w:ascii="仿宋_GB2312" w:hAnsi="Times New Roman" w:eastAsia="仿宋_GB2312" w:cs="Times New Roman"/>
          <w:sz w:val="32"/>
          <w:szCs w:val="20"/>
          <w:lang w:eastAsia="zh-CN"/>
        </w:rPr>
        <w:t>职业健康</w:t>
      </w:r>
      <w:r>
        <w:rPr>
          <w:rFonts w:hint="eastAsia" w:ascii="仿宋_GB2312" w:hAnsi="Times New Roman" w:eastAsia="仿宋_GB2312" w:cs="Times New Roman"/>
          <w:sz w:val="32"/>
          <w:szCs w:val="20"/>
        </w:rPr>
        <w:t>法律法规、规章制度和相关政策要求；</w:t>
      </w:r>
    </w:p>
    <w:p w14:paraId="05F77D58">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2.</w:t>
      </w:r>
      <w:r>
        <w:rPr>
          <w:rFonts w:hint="eastAsia" w:ascii="仿宋_GB2312" w:hAnsi="Times New Roman" w:eastAsia="仿宋_GB2312" w:cs="Times New Roman"/>
          <w:sz w:val="32"/>
          <w:szCs w:val="20"/>
          <w:lang w:eastAsia="zh-CN"/>
        </w:rPr>
        <w:t>遵守国家有关法律、法规和相关工作纪律，恪守职业道德，客观、公正地履行相应职责，提供真实、可靠的意见，并对出具的专家意见承担责任；</w:t>
      </w:r>
    </w:p>
    <w:p w14:paraId="0416C31D">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lang w:eastAsia="zh-CN"/>
        </w:rPr>
        <w:t>3.在涉及保密性信息、文</w:t>
      </w:r>
      <w:r>
        <w:rPr>
          <w:rFonts w:hint="eastAsia" w:ascii="仿宋_GB2312" w:hAnsi="Times New Roman" w:eastAsia="仿宋_GB2312" w:cs="Times New Roman"/>
          <w:sz w:val="32"/>
          <w:szCs w:val="20"/>
        </w:rPr>
        <w:t>件和个人隐私时，应遵守国家保密制度，保守相关秘密；</w:t>
      </w:r>
    </w:p>
    <w:p w14:paraId="0B11D50C">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lang w:eastAsia="zh-CN"/>
        </w:rPr>
        <w:t>4.不得以市卫健委职业健康专家库专家名义参加非市卫健委指（委）派的各种活动，否则自行承担相应的后果与法律责任。</w:t>
      </w:r>
    </w:p>
    <w:p w14:paraId="5533F80B">
      <w:pPr>
        <w:snapToGrid w:val="0"/>
        <w:spacing w:line="580" w:lineRule="exact"/>
        <w:ind w:firstLine="640" w:firstLineChars="200"/>
        <w:rPr>
          <w:rFonts w:hint="eastAsia" w:ascii="仿宋_GB2312" w:hAnsi="Times New Roman" w:eastAsia="仿宋_GB2312" w:cs="Times New Roman"/>
          <w:color w:val="FF0000"/>
          <w:sz w:val="32"/>
          <w:szCs w:val="20"/>
        </w:rPr>
      </w:pPr>
    </w:p>
    <w:p w14:paraId="47A2BF50">
      <w:pPr>
        <w:snapToGrid w:val="0"/>
        <w:spacing w:line="580" w:lineRule="exact"/>
        <w:ind w:firstLine="640" w:firstLineChars="200"/>
        <w:rPr>
          <w:rFonts w:hint="eastAsia" w:ascii="黑体" w:hAnsi="黑体" w:eastAsia="黑体" w:cs="Times New Roman"/>
          <w:sz w:val="32"/>
          <w:szCs w:val="20"/>
        </w:rPr>
      </w:pPr>
      <w:r>
        <w:rPr>
          <w:rFonts w:hint="eastAsia" w:ascii="黑体" w:hAnsi="黑体" w:eastAsia="黑体" w:cs="Times New Roman"/>
          <w:sz w:val="32"/>
          <w:szCs w:val="20"/>
        </w:rPr>
        <w:t>三、专家的规范抽取</w:t>
      </w:r>
    </w:p>
    <w:p w14:paraId="4C933B73">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（一）各地、各有关单位抽取职业健康专家时根据实际需要，采用随机抽取、人工选取等方式从专家库中抽取专家。</w:t>
      </w:r>
    </w:p>
    <w:p w14:paraId="07273B99">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（二）各地、各有关单位在抽取专家参与工作任务时，应将工作任务及对象告知抽取的专家，有以下情形之一的，专家应主动申明并回避：</w:t>
      </w:r>
    </w:p>
    <w:p w14:paraId="5774E068">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1.专家在工作事项相关单位存在任职或聘任关系；</w:t>
      </w:r>
    </w:p>
    <w:p w14:paraId="185B579E">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2.专家及专家直系亲属或专家所在单位与工作事项存在利害关系，与工作事项主要关系人或实际控制人有利益关系；</w:t>
      </w:r>
    </w:p>
    <w:p w14:paraId="49D63CB1">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3.已参与过同一单位的督导、评审工作等法律法规政策规定的需要回避的情形。</w:t>
      </w:r>
    </w:p>
    <w:p w14:paraId="34BCA2CB">
      <w:pPr>
        <w:snapToGrid w:val="0"/>
        <w:spacing w:line="580" w:lineRule="exact"/>
        <w:ind w:firstLine="640" w:firstLineChars="200"/>
        <w:rPr>
          <w:rFonts w:hint="eastAsia" w:ascii="黑体" w:hAnsi="黑体" w:eastAsia="黑体" w:cs="Times New Roman"/>
          <w:sz w:val="32"/>
          <w:szCs w:val="20"/>
        </w:rPr>
      </w:pPr>
      <w:r>
        <w:rPr>
          <w:rFonts w:hint="eastAsia" w:ascii="黑体" w:hAnsi="黑体" w:eastAsia="黑体" w:cs="Times New Roman"/>
          <w:sz w:val="32"/>
          <w:szCs w:val="20"/>
        </w:rPr>
        <w:t>四、专家库日常管理和维护</w:t>
      </w:r>
    </w:p>
    <w:p w14:paraId="2A4B465C">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（一）</w:t>
      </w:r>
      <w:r>
        <w:rPr>
          <w:rFonts w:hint="eastAsia" w:ascii="仿宋_GB2312" w:hAnsi="Times New Roman" w:eastAsia="仿宋_GB2312" w:cs="Times New Roman"/>
          <w:sz w:val="32"/>
          <w:szCs w:val="20"/>
          <w:lang w:eastAsia="zh-CN"/>
        </w:rPr>
        <w:t>市</w:t>
      </w:r>
      <w:r>
        <w:rPr>
          <w:rFonts w:hint="eastAsia" w:ascii="仿宋_GB2312" w:hAnsi="Times New Roman" w:eastAsia="仿宋_GB2312" w:cs="Times New Roman"/>
          <w:sz w:val="32"/>
          <w:szCs w:val="20"/>
        </w:rPr>
        <w:t>卫健委职业健康处负责专家库的日常管理和维护，包括专家遴选、资格审核、活动组织、业务培训、工作评价等工作。</w:t>
      </w:r>
    </w:p>
    <w:p w14:paraId="5B980C35">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（二）专家每届任期</w:t>
      </w:r>
      <w:r>
        <w:rPr>
          <w:rFonts w:hint="eastAsia" w:ascii="仿宋_GB2312" w:hAnsi="Times New Roman" w:eastAsia="仿宋_GB2312" w:cs="Times New Roman"/>
          <w:sz w:val="32"/>
          <w:szCs w:val="20"/>
          <w:highlight w:val="none"/>
          <w:lang w:val="en-US" w:eastAsia="zh-CN"/>
        </w:rPr>
        <w:t>5</w:t>
      </w:r>
      <w:r>
        <w:rPr>
          <w:rFonts w:hint="eastAsia" w:ascii="仿宋_GB2312" w:hAnsi="Times New Roman" w:eastAsia="仿宋_GB2312" w:cs="Times New Roman"/>
          <w:sz w:val="32"/>
          <w:szCs w:val="20"/>
        </w:rPr>
        <w:t>年。非换届期间，对专家库按照开放、流动、择优、淘劣的原则实行动态管理，可根据</w:t>
      </w:r>
      <w:r>
        <w:rPr>
          <w:rFonts w:hint="eastAsia" w:ascii="仿宋_GB2312" w:hAnsi="Times New Roman" w:eastAsia="仿宋_GB2312" w:cs="Times New Roman"/>
          <w:sz w:val="32"/>
          <w:szCs w:val="20"/>
          <w:lang w:eastAsia="zh-CN"/>
        </w:rPr>
        <w:t>实际情况</w:t>
      </w:r>
      <w:r>
        <w:rPr>
          <w:rFonts w:hint="eastAsia" w:ascii="仿宋_GB2312" w:hAnsi="Times New Roman" w:eastAsia="仿宋_GB2312" w:cs="Times New Roman"/>
          <w:sz w:val="32"/>
          <w:szCs w:val="20"/>
        </w:rPr>
        <w:t>实时调整。</w:t>
      </w:r>
    </w:p>
    <w:p w14:paraId="12BBCAE5">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（三）专家因身体原因、工作调动、个人意愿等原因</w:t>
      </w:r>
      <w:r>
        <w:rPr>
          <w:rFonts w:hint="eastAsia" w:ascii="仿宋_GB2312" w:hAnsi="Times New Roman" w:eastAsia="仿宋_GB2312" w:cs="Times New Roman"/>
          <w:sz w:val="32"/>
          <w:szCs w:val="20"/>
          <w:lang w:eastAsia="zh-CN"/>
        </w:rPr>
        <w:t>需退出专家库的，</w:t>
      </w:r>
      <w:r>
        <w:rPr>
          <w:rFonts w:hint="eastAsia" w:ascii="仿宋_GB2312" w:hAnsi="Times New Roman" w:eastAsia="仿宋_GB2312" w:cs="Times New Roman"/>
          <w:sz w:val="32"/>
          <w:szCs w:val="20"/>
        </w:rPr>
        <w:t>可通过本人提出申请，经批准后退出专家库。</w:t>
      </w:r>
    </w:p>
    <w:p w14:paraId="4F22C705">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jc w:val="left"/>
        <w:textAlignment w:val="auto"/>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（四）专家有下列情形之一的，由</w:t>
      </w:r>
      <w:r>
        <w:rPr>
          <w:rFonts w:hint="eastAsia" w:ascii="仿宋_GB2312" w:hAnsi="Times New Roman" w:eastAsia="仿宋_GB2312" w:cs="Times New Roman"/>
          <w:sz w:val="32"/>
          <w:szCs w:val="20"/>
          <w:lang w:eastAsia="zh-CN"/>
        </w:rPr>
        <w:t>市</w:t>
      </w:r>
      <w:r>
        <w:rPr>
          <w:rFonts w:hint="eastAsia" w:ascii="仿宋_GB2312" w:hAnsi="Times New Roman" w:eastAsia="仿宋_GB2312" w:cs="Times New Roman"/>
          <w:sz w:val="32"/>
          <w:szCs w:val="20"/>
        </w:rPr>
        <w:t>卫健委取消其专家资格并书面函告其推荐单位：</w:t>
      </w:r>
    </w:p>
    <w:p w14:paraId="3CC0BF77">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jc w:val="left"/>
        <w:textAlignment w:val="auto"/>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1.存在违法违纪或失信行为的；</w:t>
      </w:r>
    </w:p>
    <w:p w14:paraId="42789974">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jc w:val="left"/>
        <w:textAlignment w:val="auto"/>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2.</w:t>
      </w:r>
      <w:r>
        <w:rPr>
          <w:rFonts w:hint="eastAsia" w:ascii="仿宋_GB2312" w:hAnsi="Times New Roman" w:eastAsia="仿宋_GB2312" w:cs="Times New Roman"/>
          <w:sz w:val="32"/>
          <w:szCs w:val="20"/>
          <w:lang w:val="en-US" w:eastAsia="zh-CN"/>
        </w:rPr>
        <w:t>无正当理由，一年内不接受市卫健委指派工作任务2</w:t>
      </w:r>
      <w:r>
        <w:rPr>
          <w:rFonts w:hint="default" w:ascii="仿宋_GB2312" w:hAnsi="Times New Roman" w:eastAsia="仿宋_GB2312" w:cs="Times New Roman"/>
          <w:sz w:val="32"/>
          <w:szCs w:val="20"/>
        </w:rPr>
        <w:t>次</w:t>
      </w:r>
      <w:r>
        <w:rPr>
          <w:rFonts w:hint="eastAsia" w:ascii="仿宋_GB2312" w:hAnsi="Times New Roman" w:eastAsia="仿宋_GB2312" w:cs="Times New Roman"/>
          <w:sz w:val="32"/>
          <w:szCs w:val="20"/>
          <w:lang w:eastAsia="zh-CN"/>
        </w:rPr>
        <w:t>及</w:t>
      </w:r>
      <w:r>
        <w:rPr>
          <w:rFonts w:hint="default" w:ascii="仿宋_GB2312" w:hAnsi="Times New Roman" w:eastAsia="仿宋_GB2312" w:cs="Times New Roman"/>
          <w:sz w:val="32"/>
          <w:szCs w:val="20"/>
        </w:rPr>
        <w:t>以上的</w:t>
      </w:r>
      <w:r>
        <w:rPr>
          <w:rFonts w:hint="eastAsia" w:ascii="仿宋_GB2312" w:hAnsi="Times New Roman" w:eastAsia="仿宋_GB2312" w:cs="Times New Roman"/>
          <w:sz w:val="32"/>
          <w:szCs w:val="20"/>
          <w:lang w:eastAsia="zh-CN"/>
        </w:rPr>
        <w:t>；</w:t>
      </w:r>
    </w:p>
    <w:p w14:paraId="71D16E41">
      <w:pPr>
        <w:snapToGrid w:val="0"/>
        <w:spacing w:line="580" w:lineRule="exact"/>
        <w:ind w:firstLine="640" w:firstLineChars="200"/>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3.在职业健康工作中存在损害他人利益、造成有关单位损失或不良影响等失德失职情形的；</w:t>
      </w:r>
    </w:p>
    <w:p w14:paraId="3A313D87">
      <w:pPr>
        <w:snapToGrid w:val="0"/>
        <w:spacing w:line="580" w:lineRule="exact"/>
        <w:ind w:firstLine="640" w:firstLineChars="200"/>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rPr>
        <w:t>4.符合需要回避的情形，未主动提出回避的</w:t>
      </w:r>
      <w:r>
        <w:rPr>
          <w:rFonts w:hint="eastAsia" w:ascii="仿宋_GB2312" w:hAnsi="Times New Roman" w:eastAsia="仿宋_GB2312" w:cs="Times New Roman"/>
          <w:sz w:val="32"/>
          <w:szCs w:val="20"/>
          <w:lang w:eastAsia="zh-CN"/>
        </w:rPr>
        <w:t>；</w:t>
      </w:r>
    </w:p>
    <w:p w14:paraId="1B0C927D">
      <w:pPr>
        <w:snapToGrid w:val="0"/>
        <w:spacing w:line="580" w:lineRule="exact"/>
        <w:ind w:firstLine="640" w:firstLineChars="200"/>
        <w:rPr>
          <w:rFonts w:hint="eastAsia" w:ascii="仿宋_GB2312" w:hAnsi="Times New Roman" w:eastAsia="仿宋_GB2312" w:cs="Times New Roman"/>
          <w:sz w:val="32"/>
          <w:szCs w:val="20"/>
          <w:highlight w:val="yellow"/>
        </w:rPr>
      </w:pPr>
      <w:r>
        <w:rPr>
          <w:rFonts w:hint="eastAsia" w:ascii="仿宋_GB2312" w:hAnsi="Times New Roman" w:eastAsia="仿宋_GB2312" w:cs="Times New Roman"/>
          <w:sz w:val="32"/>
          <w:szCs w:val="20"/>
          <w:highlight w:val="none"/>
          <w:lang w:val="en-US" w:eastAsia="zh-CN"/>
        </w:rPr>
        <w:t>5.泄露国家秘密或有关单位的商业秘密和技术秘密的</w:t>
      </w:r>
      <w:r>
        <w:rPr>
          <w:rFonts w:hint="eastAsia" w:ascii="仿宋_GB2312" w:hAnsi="Times New Roman" w:eastAsia="仿宋_GB2312" w:cs="Times New Roman"/>
          <w:sz w:val="32"/>
          <w:szCs w:val="20"/>
          <w:highlight w:val="none"/>
        </w:rPr>
        <w:t>。</w:t>
      </w:r>
    </w:p>
    <w:p w14:paraId="33AB03E5">
      <w:pPr>
        <w:snapToGrid w:val="0"/>
        <w:spacing w:line="580" w:lineRule="exact"/>
        <w:ind w:firstLine="640" w:firstLineChars="200"/>
        <w:rPr>
          <w:rFonts w:hint="eastAsia" w:ascii="仿宋_GB2312" w:hAnsi="Helvetica" w:eastAsia="仿宋_GB2312" w:cs="Helvetica"/>
          <w:kern w:val="0"/>
          <w:sz w:val="32"/>
          <w:szCs w:val="32"/>
        </w:rPr>
      </w:pPr>
      <w:r>
        <w:rPr>
          <w:rFonts w:hint="eastAsia" w:ascii="仿宋_GB2312" w:hAnsi="Times New Roman" w:eastAsia="仿宋_GB2312" w:cs="Times New Roman"/>
          <w:sz w:val="32"/>
          <w:szCs w:val="20"/>
        </w:rPr>
        <w:t>（五）专家库换届或成员调整时，</w:t>
      </w:r>
      <w:r>
        <w:rPr>
          <w:rFonts w:hint="eastAsia" w:ascii="仿宋_GB2312" w:hAnsi="Times New Roman" w:eastAsia="仿宋_GB2312" w:cs="Times New Roman"/>
          <w:sz w:val="32"/>
          <w:szCs w:val="20"/>
          <w:lang w:eastAsia="zh-CN"/>
        </w:rPr>
        <w:t>市</w:t>
      </w:r>
      <w:r>
        <w:rPr>
          <w:rFonts w:hint="eastAsia" w:ascii="仿宋_GB2312" w:hAnsi="Times New Roman" w:eastAsia="仿宋_GB2312" w:cs="Times New Roman"/>
          <w:sz w:val="32"/>
          <w:szCs w:val="20"/>
        </w:rPr>
        <w:t>卫健委将新一届专家库成员名单或调整情况以文件的方式对外公开发布。</w:t>
      </w:r>
    </w:p>
    <w:p w14:paraId="14A134DC">
      <w:pPr>
        <w:widowControl/>
        <w:jc w:val="left"/>
        <w:rPr>
          <w:rFonts w:hint="eastAsia" w:ascii="仿宋_GB2312" w:hAnsi="Helvetica" w:eastAsia="仿宋_GB2312" w:cs="Helvetica"/>
          <w:kern w:val="0"/>
          <w:sz w:val="32"/>
          <w:szCs w:val="32"/>
        </w:rPr>
      </w:pPr>
    </w:p>
    <w:p w14:paraId="10EB9764">
      <w:pPr>
        <w:widowControl/>
        <w:jc w:val="left"/>
        <w:rPr>
          <w:rFonts w:hint="eastAsia" w:ascii="仿宋_GB2312" w:hAnsi="Helvetica" w:eastAsia="仿宋_GB2312" w:cs="Helvetica"/>
          <w:kern w:val="0"/>
          <w:sz w:val="32"/>
          <w:szCs w:val="32"/>
        </w:rPr>
      </w:pPr>
    </w:p>
    <w:p w14:paraId="0CB1194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E07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2026-07-23T07:06:23Z</dcterms:created>
  <dc:creator>X</dc:creator>
  <cp:lastModifiedBy>夏雪</cp:lastModifiedBy>
  <dcterms:modified xsi:type="dcterms:W3CDTF">2026-07-23T07:06:27Z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eyJoZGlkIjoiMmQ3YjdmNWZmZGI0ZjZmNDY5ZmJkNTYzMTc0NzFmZjciLCJ1c2VySWQiOiIxNzY1NDMxNDEyIn0=</vt:lpwstr>
  </property>
  <property fmtid="{D5CDD505-2E9C-101B-9397-08002B2CF9AE}" pid="4" name="ICV">
    <vt:lpwstr>5FDF7885474D4272A74B15D3BB7C3AA9_12</vt:lpwstr>
  </property>
</Properties>
</file>