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4CB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right="0"/>
        <w:jc w:val="left"/>
        <w:rPr>
          <w:rFonts w:hint="eastAsia" w:ascii="国标黑体" w:hAnsi="国标黑体" w:eastAsia="国标黑体" w:cs="国标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国标黑体" w:hAnsi="国标黑体" w:eastAsia="国标黑体" w:cs="国标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</w:p>
    <w:p w14:paraId="51F938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right="0"/>
        <w:jc w:val="left"/>
        <w:rPr>
          <w:rFonts w:hint="eastAsia" w:ascii="国标黑体" w:hAnsi="国标黑体" w:eastAsia="国标黑体" w:cs="国标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05EC0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CESI宋体-GB2312" w:hAnsi="CESI宋体-GB2312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CESI宋体-GB2312" w:hAnsi="CESI宋体-GB2312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  <w:t>成都市郫都区OPC 孵化支持政策</w:t>
      </w:r>
    </w:p>
    <w:p w14:paraId="26F0E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（征求意见稿）</w:t>
      </w:r>
    </w:p>
    <w:p w14:paraId="45DDB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方正黑体简体" w:cs="方正黑体简体"/>
          <w:color w:val="auto"/>
          <w:sz w:val="32"/>
          <w:szCs w:val="32"/>
          <w:lang w:eastAsia="zh-CN"/>
        </w:rPr>
      </w:pPr>
    </w:p>
    <w:p w14:paraId="7DF8D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为强化人工智能引领作用，抢抓科技产业创新发展范式变革机遇，大力培育基于人工智能的创新模式，构建创新活跃、潜力迸发的OPC（一人公司）创业生态，特制定本政策。</w:t>
      </w:r>
    </w:p>
    <w:p w14:paraId="7BC93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方正黑体简体" w:cs="方正黑体简体"/>
          <w:color w:val="auto"/>
          <w:sz w:val="32"/>
          <w:szCs w:val="32"/>
          <w:lang w:eastAsia="zh-CN"/>
        </w:rPr>
      </w:pPr>
      <w:r>
        <w:rPr>
          <w:rFonts w:hint="eastAsia" w:ascii="CESI宋体-GB2312" w:hAnsi="CESI宋体-GB2312" w:eastAsia="方正黑体简体" w:cs="方正黑体简体"/>
          <w:color w:val="auto"/>
          <w:sz w:val="32"/>
          <w:szCs w:val="32"/>
          <w:lang w:eastAsia="zh-CN"/>
        </w:rPr>
        <w:t>一、载体运营支持</w:t>
      </w:r>
    </w:p>
    <w:p w14:paraId="13227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>第一条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 xml:space="preserve"> 办公工位支持。支持OPC企业入驻郫都区OPC孵化社区，符合条件的由载体方提供最长24个月的免租期。（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责任单位：各国有公司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）</w:t>
      </w:r>
    </w:p>
    <w:p w14:paraId="2341319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华文仿宋" w:cs="华文仿宋"/>
          <w:color w:val="auto"/>
          <w:kern w:val="2"/>
          <w:sz w:val="32"/>
          <w:szCs w:val="32"/>
          <w:lang w:val="en-US" w:eastAsia="zh-CN" w:bidi="ar-SA"/>
        </w:rPr>
        <w:t>载体首办奖励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。</w:t>
      </w:r>
      <w:r>
        <w:rPr>
          <w:rFonts w:hint="eastAsia" w:ascii="CESI宋体-GB2312" w:hAnsi="CESI宋体-GB2312" w:eastAsia="华文仿宋" w:cs="华文仿宋"/>
          <w:color w:val="auto"/>
          <w:kern w:val="2"/>
          <w:sz w:val="32"/>
          <w:szCs w:val="32"/>
          <w:lang w:val="en-US" w:eastAsia="zh-CN" w:bidi="ar-SA"/>
        </w:rPr>
        <w:t>支持高校、院所、企业等各类主体利用标准化厂房、影视文创产业载体及配套空间、村(社区)闲置用房开办OPC载体，由载体所在园区根据实际进行综合考评，给予OPC载体运营机构最高100万元首办奖励。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责任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单位：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双创管委会、影视城管委会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）</w:t>
      </w:r>
    </w:p>
    <w:p w14:paraId="3E35E91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运营奖励。支持高校、院所、企业等各类主体围绕主导产业，建设适配OPC创业需求的专业化、垂直化</w:t>
      </w:r>
      <w:r>
        <w:rPr>
          <w:rFonts w:hint="eastAsia" w:ascii="CESI宋体-GB2312" w:hAnsi="CESI宋体-GB2312" w:eastAsia="方正仿宋简体" w:cs="方正仿宋简体"/>
          <w:b w:val="0"/>
          <w:bCs w:val="0"/>
          <w:sz w:val="32"/>
          <w:szCs w:val="40"/>
          <w:lang w:val="en-US" w:eastAsia="zh-CN"/>
        </w:rPr>
        <w:t>OPC载体（孵化器）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。经</w:t>
      </w:r>
      <w:r>
        <w:rPr>
          <w:rFonts w:hint="eastAsia" w:ascii="CESI宋体-GB2312" w:hAnsi="CESI宋体-GB2312" w:eastAsia="华文仿宋" w:cs="华文仿宋"/>
          <w:color w:val="auto"/>
          <w:kern w:val="2"/>
          <w:sz w:val="32"/>
          <w:szCs w:val="32"/>
          <w:lang w:val="en-US" w:eastAsia="zh-CN" w:bidi="ar-SA"/>
        </w:rPr>
        <w:t>载体所在园区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考核，按运营绩效给予载体运营机构每年最高600万元的运营奖励。（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责任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单位：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双创管委会、影视城管委会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）</w:t>
      </w:r>
    </w:p>
    <w:p w14:paraId="4864C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CESI宋体-GB2312" w:hAnsi="CESI宋体-GB2312" w:eastAsia="方正黑体简体" w:cs="方正黑体简体"/>
          <w:color w:val="auto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方正黑体简体" w:cs="方正黑体简体"/>
          <w:color w:val="auto"/>
          <w:sz w:val="32"/>
          <w:szCs w:val="32"/>
          <w:lang w:eastAsia="zh-CN"/>
        </w:rPr>
        <w:t>二、</w:t>
      </w:r>
      <w:r>
        <w:rPr>
          <w:rFonts w:hint="eastAsia" w:ascii="CESI宋体-GB2312" w:hAnsi="CESI宋体-GB2312" w:eastAsia="方正黑体简体" w:cs="方正黑体简体"/>
          <w:color w:val="auto"/>
          <w:sz w:val="32"/>
          <w:szCs w:val="32"/>
          <w:lang w:val="en-US" w:eastAsia="zh-CN"/>
        </w:rPr>
        <w:t>科技创新支持</w:t>
      </w:r>
    </w:p>
    <w:p w14:paraId="7ECE1E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>第四条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 xml:space="preserve">  研发投入资助。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  <w:lang w:val="en-US" w:eastAsia="zh-CN"/>
        </w:rPr>
        <w:t>对上一年度研发投入增量超过100万元（含）的OPC企业，给予研发投入增量的3%、最高不超过50万元补贴。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责任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单位：区科技局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）</w:t>
      </w:r>
    </w:p>
    <w:p w14:paraId="7D4BB4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 xml:space="preserve">第五条 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科技项目资助。鼓励各类创新主体围绕OPC企业研发轻量化开发工具、低代码平台及垂直领域模型工具，攻关智能体高效开发框架；支持OPC企业根据我区主导产业和新兴产业开展技术攻关，推动科技成果转化，实现技术供给与产业需求对接，对纳入科技计划项目的，经评审择优给予最高50万元资金支持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责任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单位：区科技局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）</w:t>
      </w:r>
    </w:p>
    <w:p w14:paraId="2DDBBBD7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highlight w:val="none"/>
          <w:lang w:val="en-US" w:eastAsia="zh-CN"/>
        </w:rPr>
        <w:t>第六条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  <w:lang w:val="en-US" w:eastAsia="zh-CN"/>
        </w:rPr>
        <w:t xml:space="preserve"> 初创资助。支持青年人才创新创业，建立青年创新创业项目库，入库项目可获得最高5万元一次性创新创业资助。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责任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单位：区科技局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）</w:t>
      </w:r>
    </w:p>
    <w:p w14:paraId="572560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方正黑体简体" w:cs="方正黑体简体"/>
          <w:color w:val="auto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CESI宋体-GB2312" w:hAnsi="CESI宋体-GB2312" w:eastAsia="方正黑体简体" w:cs="方正黑体简体"/>
          <w:color w:val="auto"/>
          <w:sz w:val="32"/>
          <w:szCs w:val="32"/>
          <w:lang w:eastAsia="zh-CN"/>
        </w:rPr>
        <w:t>三、</w:t>
      </w:r>
      <w:r>
        <w:rPr>
          <w:rFonts w:hint="eastAsia" w:ascii="CESI宋体-GB2312" w:hAnsi="CESI宋体-GB2312" w:eastAsia="方正黑体简体" w:cs="方正黑体简体"/>
          <w:color w:val="auto"/>
          <w:sz w:val="32"/>
          <w:szCs w:val="32"/>
          <w:lang w:val="en-US" w:eastAsia="zh-CN"/>
        </w:rPr>
        <w:t>算力资源支持</w:t>
      </w:r>
    </w:p>
    <w:p w14:paraId="10E033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highlight w:val="none"/>
          <w:lang w:val="en-US" w:eastAsia="zh-CN"/>
        </w:rPr>
        <w:t>第七条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CESI宋体-GB2312" w:hAnsi="CESI宋体-GB2312" w:eastAsia="仿宋_GB2312" w:cs="Times New Roman"/>
          <w:color w:val="auto"/>
          <w:sz w:val="32"/>
          <w:highlight w:val="none"/>
        </w:rPr>
        <w:t>支持</w:t>
      </w:r>
      <w:r>
        <w:rPr>
          <w:rFonts w:hint="eastAsia" w:ascii="CESI宋体-GB2312" w:hAnsi="CESI宋体-GB2312" w:eastAsia="仿宋_GB2312" w:cs="Times New Roman"/>
          <w:color w:val="auto"/>
          <w:sz w:val="32"/>
          <w:highlight w:val="none"/>
          <w:lang w:val="en-US" w:eastAsia="zh-CN"/>
        </w:rPr>
        <w:t>OPC企业</w:t>
      </w:r>
      <w:r>
        <w:rPr>
          <w:rFonts w:hint="eastAsia" w:ascii="CESI宋体-GB2312" w:hAnsi="CESI宋体-GB2312" w:eastAsia="仿宋_GB2312" w:cs="Times New Roman"/>
          <w:color w:val="auto"/>
          <w:sz w:val="32"/>
          <w:highlight w:val="none"/>
        </w:rPr>
        <w:t>优惠使用算力和模型</w:t>
      </w:r>
      <w:r>
        <w:rPr>
          <w:rFonts w:hint="eastAsia" w:ascii="CESI宋体-GB2312" w:hAnsi="CESI宋体-GB2312" w:eastAsia="仿宋_GB2312" w:cs="Times New Roman"/>
          <w:color w:val="auto"/>
          <w:sz w:val="32"/>
          <w:highlight w:val="none"/>
          <w:lang w:eastAsia="zh-CN"/>
        </w:rPr>
        <w:t>。</w:t>
      </w:r>
      <w:r>
        <w:rPr>
          <w:rFonts w:hint="eastAsia" w:ascii="CESI宋体-GB2312" w:hAnsi="CESI宋体-GB2312" w:eastAsia="仿宋_GB2312" w:cs="Times New Roman"/>
          <w:color w:val="auto"/>
          <w:sz w:val="32"/>
          <w:highlight w:val="none"/>
        </w:rPr>
        <w:t>鼓励</w:t>
      </w:r>
      <w:r>
        <w:rPr>
          <w:rFonts w:hint="eastAsia" w:ascii="CESI宋体-GB2312" w:hAnsi="CESI宋体-GB2312" w:eastAsia="仿宋_GB2312" w:cs="Times New Roman"/>
          <w:color w:val="auto"/>
          <w:sz w:val="32"/>
          <w:highlight w:val="none"/>
          <w:lang w:val="en-US" w:eastAsia="zh-CN"/>
        </w:rPr>
        <w:t>OPC</w:t>
      </w:r>
      <w:r>
        <w:rPr>
          <w:rFonts w:hint="eastAsia" w:ascii="CESI宋体-GB2312" w:hAnsi="CESI宋体-GB2312" w:eastAsia="仿宋_GB2312" w:cs="Times New Roman"/>
          <w:color w:val="auto"/>
          <w:sz w:val="32"/>
          <w:highlight w:val="none"/>
        </w:rPr>
        <w:t>企业使用智能算力，按照市级算力券抵扣费用的50%，给予每家企业每年最高250万元配套补贴。对</w:t>
      </w:r>
      <w:r>
        <w:rPr>
          <w:rFonts w:hint="eastAsia" w:ascii="CESI宋体-GB2312" w:hAnsi="CESI宋体-GB2312" w:eastAsia="仿宋_GB2312" w:cs="Times New Roman"/>
          <w:color w:val="auto"/>
          <w:sz w:val="32"/>
          <w:highlight w:val="none"/>
          <w:lang w:val="en-US" w:eastAsia="zh-CN"/>
        </w:rPr>
        <w:t>OPC</w:t>
      </w:r>
      <w:r>
        <w:rPr>
          <w:rFonts w:hint="eastAsia" w:ascii="CESI宋体-GB2312" w:hAnsi="CESI宋体-GB2312" w:eastAsia="仿宋_GB2312" w:cs="Times New Roman"/>
          <w:color w:val="auto"/>
          <w:sz w:val="32"/>
          <w:highlight w:val="none"/>
        </w:rPr>
        <w:t>企业通过API（应用程序编程接口）调用、云化部署等方式使用模型的，按市级模型使用补贴的50％，给予最高50万元配套补贴。</w:t>
      </w:r>
      <w:r>
        <w:rPr>
          <w:rFonts w:hint="eastAsia" w:ascii="CESI宋体-GB2312" w:hAnsi="CESI宋体-GB2312" w:eastAsia="仿宋_GB2312" w:cs="Times New Roman"/>
          <w:color w:val="auto"/>
          <w:sz w:val="32"/>
          <w:highlight w:val="none"/>
          <w:lang w:eastAsia="zh-CN"/>
        </w:rPr>
        <w:t>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highlight w:val="none"/>
          <w:lang w:eastAsia="zh-CN"/>
        </w:rPr>
        <w:t>责任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highlight w:val="none"/>
        </w:rPr>
        <w:t>单位：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highlight w:val="none"/>
          <w:lang w:eastAsia="zh-CN"/>
        </w:rPr>
        <w:t>区经信局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  <w:lang w:val="en-US" w:eastAsia="zh-CN"/>
        </w:rPr>
        <w:t>）</w:t>
      </w:r>
    </w:p>
    <w:p w14:paraId="0556F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方正黑体简体" w:cs="方正黑体简体"/>
          <w:color w:val="auto"/>
          <w:sz w:val="32"/>
          <w:szCs w:val="32"/>
          <w:lang w:eastAsia="zh-CN"/>
        </w:rPr>
      </w:pPr>
      <w:r>
        <w:rPr>
          <w:rFonts w:hint="eastAsia" w:ascii="CESI宋体-GB2312" w:hAnsi="CESI宋体-GB2312" w:eastAsia="方正黑体简体" w:cs="方正黑体简体"/>
          <w:color w:val="auto"/>
          <w:sz w:val="32"/>
          <w:szCs w:val="32"/>
          <w:lang w:eastAsia="zh-CN"/>
        </w:rPr>
        <w:t>四、投融资支持</w:t>
      </w:r>
    </w:p>
    <w:p w14:paraId="5A91AF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>第八条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 xml:space="preserve"> 融资支持。支持双创载体大力开展助企融资服务，支持OPC企业获得投融资，按入孵企业当年累计股权融资额的1%，给予载体运营机构最高50万元奖励。（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责任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单位：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双创管委会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）</w:t>
      </w:r>
    </w:p>
    <w:p w14:paraId="698533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>第九条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CESI宋体-GB2312" w:hAnsi="CESI宋体-GB2312" w:eastAsia="华文仿宋" w:cs="华文仿宋"/>
          <w:color w:val="auto"/>
          <w:kern w:val="2"/>
          <w:sz w:val="32"/>
          <w:szCs w:val="32"/>
          <w:lang w:val="en-US" w:eastAsia="zh-CN" w:bidi="ar-SA"/>
        </w:rPr>
        <w:t>投资机构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支持</w:t>
      </w:r>
      <w:r>
        <w:rPr>
          <w:rFonts w:hint="eastAsia" w:ascii="CESI宋体-GB2312" w:hAnsi="CESI宋体-GB2312" w:eastAsia="华文仿宋" w:cs="华文仿宋"/>
          <w:color w:val="auto"/>
          <w:kern w:val="2"/>
          <w:sz w:val="32"/>
          <w:szCs w:val="32"/>
          <w:lang w:val="en-US" w:eastAsia="zh-CN" w:bidi="ar-SA"/>
        </w:rPr>
        <w:t>。对投资郫都区内科技型中小企业且投资期超过1年的创业投资机构，按照实际到账投资额的5‰、单户每年不超过50万元给予奖励。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责任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单位：区科技局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）</w:t>
      </w:r>
    </w:p>
    <w:p w14:paraId="4FD08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方正黑体简体" w:cs="方正黑体简体"/>
          <w:color w:val="auto"/>
          <w:sz w:val="32"/>
          <w:szCs w:val="32"/>
          <w:lang w:eastAsia="zh-CN"/>
        </w:rPr>
      </w:pPr>
      <w:r>
        <w:rPr>
          <w:rFonts w:hint="eastAsia" w:ascii="CESI宋体-GB2312" w:hAnsi="CESI宋体-GB2312" w:eastAsia="方正黑体简体" w:cs="方正黑体简体"/>
          <w:color w:val="auto"/>
          <w:sz w:val="32"/>
          <w:szCs w:val="32"/>
          <w:lang w:eastAsia="zh-CN"/>
        </w:rPr>
        <w:t>五、人才引育与保障支持</w:t>
      </w:r>
    </w:p>
    <w:p w14:paraId="40040B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>第十条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 xml:space="preserve"> 人才认定支持。支持企业自主评价A至C类高层次人才，给予郫都区“人才服务卡”综合保障。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责任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单位：区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委组织部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）</w:t>
      </w:r>
    </w:p>
    <w:p w14:paraId="34051A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 xml:space="preserve">第十一条 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创业补贴。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支持D类及以上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OPC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人才（团队）带项目入驻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  <w:t>，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按照评审认定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  <w:t>等级，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给予项目最高500万元资金资助。（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责任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单位：区科技局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）</w:t>
      </w:r>
    </w:p>
    <w:p w14:paraId="587577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yellow"/>
          <w:lang w:eastAsia="zh-CN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>第十二条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  <w:lang w:val="en-US" w:eastAsia="zh-CN"/>
        </w:rPr>
        <w:t>培育本土人才。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</w:rPr>
        <w:t>支持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  <w:lang w:val="en-US" w:eastAsia="zh-CN"/>
        </w:rPr>
        <w:t>OPC企业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</w:rPr>
        <w:t>培养本土青年人才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</w:rPr>
        <w:t>按照每人最高5万元/年标准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</w:rPr>
        <w:t>给予每人最长2年资助。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highlight w:val="none"/>
          <w:lang w:eastAsia="zh-CN"/>
        </w:rPr>
        <w:t>责任单位：区委组织部，各行业主管部门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highlight w:val="none"/>
          <w:lang w:eastAsia="zh-CN"/>
        </w:rPr>
        <w:t>）</w:t>
      </w:r>
    </w:p>
    <w:p w14:paraId="56FF9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>第十三条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 xml:space="preserve"> 引聘科技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  <w:t>副总、科技助理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  <w:t>支持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OPC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  <w:t>企业每年从高校、职业技术（技工）院校、科研院所选聘一批“科技副总”“科技助理”，联合攻关产业技术难题，按照最高10万元/人标准，给予企业最高20万元的补贴。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责任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单位：区科技局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）</w:t>
      </w:r>
    </w:p>
    <w:p w14:paraId="749928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>第十四条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 xml:space="preserve"> 购房补贴。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支持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OPC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企业引育的D类及以上人才在郫都区购买家庭首套新建商品住房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  <w:t>，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给予每人最高100万元购房补贴。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>（责任单位：区住建局）</w:t>
      </w:r>
    </w:p>
    <w:p w14:paraId="6A64DE4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 xml:space="preserve">第十五条 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安家补贴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  <w:t>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OPC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企业新引进的D类及以上人才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  <w:t>，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给予每人最高3000元/月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  <w:t>，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最长不超过3年安家补贴。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  <w:t>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责任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单位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：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区人社局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）</w:t>
      </w:r>
    </w:p>
    <w:p w14:paraId="1572041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 xml:space="preserve">第十六条 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人才驿站支持。支持青年人才(大学生)入住青年人才驿站，专科及以上学历（含在读）青年来郫应聘，可申请最长30天免费入住；为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来郫留郫创新创业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  <w:t>、符合条件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的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OPC人才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  <w:t>提供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最长3个月免费入住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  <w:t>，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</w:rPr>
        <w:t>有续住需求的可再享受最长3个月房费减半优惠。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（责任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单位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：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</w:rPr>
        <w:t>团区委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  <w:t>）</w:t>
      </w:r>
    </w:p>
    <w:p w14:paraId="0995478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华文仿宋" w:cs="华文仿宋"/>
          <w:color w:val="auto"/>
          <w:sz w:val="32"/>
          <w:szCs w:val="32"/>
          <w:lang w:eastAsia="zh-CN"/>
        </w:rPr>
      </w:pP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 xml:space="preserve">第十七条 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OPC政务专窗。建立OPC政务服务专窗，为企业提供OPC企业开办“一类事”服务。（</w:t>
      </w:r>
      <w:r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val="en-US" w:eastAsia="zh-CN"/>
        </w:rPr>
        <w:t>责任单位：区政务服务管理和行政审批局</w:t>
      </w:r>
      <w:r>
        <w:rPr>
          <w:rFonts w:hint="eastAsia" w:ascii="CESI宋体-GB2312" w:hAnsi="CESI宋体-GB2312" w:eastAsia="华文仿宋" w:cs="华文仿宋"/>
          <w:color w:val="auto"/>
          <w:sz w:val="32"/>
          <w:szCs w:val="32"/>
          <w:lang w:val="en-US" w:eastAsia="zh-CN"/>
        </w:rPr>
        <w:t>）</w:t>
      </w:r>
    </w:p>
    <w:p w14:paraId="241E5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宋体-GB2312" w:hAnsi="CESI宋体-GB2312" w:eastAsia="方正仿宋简体" w:cs="方正仿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CESI宋体-GB2312" w:hAnsi="CESI宋体-GB2312" w:eastAsia="方正仿宋简体" w:cs="方正仿宋简体"/>
          <w:color w:val="auto"/>
          <w:sz w:val="32"/>
          <w:szCs w:val="32"/>
          <w:highlight w:val="none"/>
          <w:lang w:val="en-US" w:eastAsia="zh-CN"/>
        </w:rPr>
        <w:t>本政策</w:t>
      </w:r>
      <w:r>
        <w:rPr>
          <w:rFonts w:hint="default" w:ascii="CESI宋体-GB2312" w:hAnsi="CESI宋体-GB2312" w:eastAsia="方正仿宋简体" w:cs="方正仿宋简体"/>
          <w:color w:val="auto"/>
          <w:sz w:val="32"/>
          <w:szCs w:val="32"/>
          <w:highlight w:val="none"/>
          <w:lang w:val="en-US" w:eastAsia="zh-CN"/>
        </w:rPr>
        <w:t>自2026年</w:t>
      </w:r>
      <w:r>
        <w:rPr>
          <w:rFonts w:hint="eastAsia" w:ascii="CESI宋体-GB2312" w:hAnsi="CESI宋体-GB2312" w:eastAsia="方正仿宋简体" w:cs="方正仿宋简体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CESI宋体-GB2312" w:hAnsi="CESI宋体-GB2312" w:eastAsia="方正仿宋简体" w:cs="方正仿宋简体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CESI宋体-GB2312" w:hAnsi="CESI宋体-GB2312" w:eastAsia="方正仿宋简体" w:cs="方正仿宋简体"/>
          <w:color w:val="auto"/>
          <w:sz w:val="32"/>
          <w:szCs w:val="32"/>
          <w:highlight w:val="none"/>
          <w:lang w:val="en-US" w:eastAsia="zh-CN"/>
        </w:rPr>
        <w:t>X</w:t>
      </w:r>
      <w:r>
        <w:rPr>
          <w:rFonts w:hint="default" w:ascii="CESI宋体-GB2312" w:hAnsi="CESI宋体-GB2312" w:eastAsia="方正仿宋简体" w:cs="方正仿宋简体"/>
          <w:color w:val="auto"/>
          <w:sz w:val="32"/>
          <w:szCs w:val="32"/>
          <w:highlight w:val="none"/>
          <w:lang w:val="en-US" w:eastAsia="zh-CN"/>
        </w:rPr>
        <w:t>日起施行，有效期2年。</w:t>
      </w:r>
      <w:r>
        <w:rPr>
          <w:rFonts w:hint="eastAsia" w:ascii="CESI宋体-GB2312" w:hAnsi="CESI宋体-GB2312" w:eastAsia="方正仿宋简体" w:cs="方正仿宋简体"/>
          <w:color w:val="auto"/>
          <w:sz w:val="32"/>
          <w:szCs w:val="32"/>
          <w:highlight w:val="none"/>
          <w:lang w:val="en-US" w:eastAsia="zh-CN"/>
        </w:rPr>
        <w:t>有效期内，若国家法律法规、规章和相关政策发生变化，本政策设计相关内容从其变化。本政策由成都市郫都区科学技术局负责解释。</w:t>
      </w:r>
    </w:p>
    <w:p w14:paraId="30A19B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</w:pPr>
    </w:p>
    <w:p w14:paraId="519E7B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</w:pPr>
    </w:p>
    <w:p w14:paraId="21D751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宋体-GB2312" w:hAnsi="CESI宋体-GB2312" w:eastAsia="方正楷体简体" w:cs="方正楷体简体"/>
          <w:color w:val="auto"/>
          <w:sz w:val="32"/>
          <w:szCs w:val="32"/>
          <w:lang w:eastAsia="zh-CN"/>
        </w:rPr>
      </w:pPr>
    </w:p>
    <w:p w14:paraId="3F6931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EE4ED"/>
    <w:multiLevelType w:val="singleLevel"/>
    <w:tmpl w:val="DFFEE4ED"/>
    <w:lvl w:ilvl="0" w:tentative="0">
      <w:start w:val="2"/>
      <w:numFmt w:val="chineseCounting"/>
      <w:suff w:val="space"/>
      <w:lvlText w:val="第%1条"/>
      <w:lvlJc w:val="left"/>
      <w:rPr>
        <w:rFonts w:hint="eastAsia" w:ascii="华文楷体" w:hAnsi="华文楷体" w:eastAsia="华文楷体" w:cs="华文楷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3FF7238"/>
    <w:rsid w:val="1F56C047"/>
    <w:rsid w:val="3FDE06FD"/>
    <w:rsid w:val="5F6F35FB"/>
    <w:rsid w:val="777E34CF"/>
    <w:rsid w:val="7DB5F749"/>
    <w:rsid w:val="7F6E4DBF"/>
    <w:rsid w:val="B3FF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unhideWhenUsed/>
    <w:qFormat/>
    <w:uiPriority w:val="99"/>
  </w:style>
  <w:style w:type="paragraph" w:styleId="4">
    <w:name w:val="Body Text"/>
    <w:basedOn w:val="1"/>
    <w:next w:val="1"/>
    <w:qFormat/>
    <w:uiPriority w:val="0"/>
    <w:pPr>
      <w:widowControl/>
    </w:pPr>
    <w:rPr>
      <w:color w:val="000000"/>
      <w:kern w:val="0"/>
      <w:sz w:val="32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rPr>
      <w:sz w:val="24"/>
    </w:rPr>
  </w:style>
  <w:style w:type="character" w:styleId="9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1961</Words>
  <Characters>2074</Characters>
  <Lines>0</Lines>
  <Paragraphs>0</Paragraphs>
  <TotalTime>3</TotalTime>
  <ScaleCrop>false</ScaleCrop>
  <LinksUpToDate>false</LinksUpToDate>
  <CharactersWithSpaces>2096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2026-06-17T02:17:00Z</dcterms:created>
  <dc:creator>KJJ</dc:creator>
  <cp:lastModifiedBy>、悟不空 </cp:lastModifiedBy>
  <dcterms:modified xsi:type="dcterms:W3CDTF">2026-07-17T01:15:29Z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284210571F454AE997769709D58FD72F_13</vt:lpwstr>
  </property>
  <property fmtid="{D5CDD505-2E9C-101B-9397-08002B2CF9AE}" pid="4" name="KSOTemplateDocerSaveRecord">
    <vt:lpwstr>eyJoZGlkIjoiODYwNjM2NDk4NjA4NDUxMDVhYzUzODA5NzliMGFkODkiLCJ1c2VySWQiOiI0MTEyNTY3NzgifQ==</vt:lpwstr>
  </property>
</Properties>
</file>