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542D37">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eastAsia="zh-CN"/>
        </w:rPr>
        <w:t>附件</w:t>
      </w:r>
      <w:r>
        <w:rPr>
          <w:rFonts w:hint="eastAsia" w:ascii="方正黑体_GBK" w:hAnsi="方正黑体_GBK" w:eastAsia="方正黑体_GBK" w:cs="方正黑体_GBK"/>
          <w:sz w:val="32"/>
          <w:szCs w:val="32"/>
          <w:lang w:val="en-US" w:eastAsia="zh-CN"/>
        </w:rPr>
        <w:t>1</w:t>
      </w:r>
    </w:p>
    <w:p w14:paraId="25492F84">
      <w:pPr>
        <w:keepNext w:val="0"/>
        <w:keepLines w:val="0"/>
        <w:pageBreakBefore w:val="0"/>
        <w:widowControl w:val="0"/>
        <w:kinsoku/>
        <w:wordWrap/>
        <w:overflowPunct/>
        <w:topLinePunct w:val="0"/>
        <w:autoSpaceDE/>
        <w:autoSpaceDN/>
        <w:bidi w:val="0"/>
        <w:adjustRightInd/>
        <w:snapToGrid/>
        <w:spacing w:before="1245" w:beforeLines="200" w:line="700" w:lineRule="exact"/>
        <w:jc w:val="center"/>
        <w:textAlignment w:val="auto"/>
        <w:rPr>
          <w:rFonts w:hint="default" w:ascii="方正小标宋_GBK" w:hAnsi="方正小标宋_GBK" w:eastAsia="方正小标宋_GBK" w:cs="方正小标宋_GBK"/>
          <w:b w:val="0"/>
          <w:bCs w:val="0"/>
          <w:color w:val="auto"/>
          <w:spacing w:val="0"/>
          <w:sz w:val="44"/>
          <w:szCs w:val="44"/>
          <w:lang w:val="en-US" w:eastAsia="zh-CN"/>
        </w:rPr>
      </w:pPr>
      <w:r>
        <w:rPr>
          <w:rFonts w:hint="default" w:ascii="方正小标宋_GBK" w:hAnsi="方正小标宋_GBK" w:eastAsia="方正小标宋_GBK" w:cs="方正小标宋_GBK"/>
          <w:b w:val="0"/>
          <w:bCs w:val="0"/>
          <w:color w:val="auto"/>
          <w:spacing w:val="0"/>
          <w:sz w:val="44"/>
          <w:szCs w:val="44"/>
          <w:lang w:val="en-US" w:eastAsia="zh-CN"/>
        </w:rPr>
        <w:t>关于深化企业首席健康官制度</w:t>
      </w:r>
    </w:p>
    <w:p w14:paraId="7C9EC0A4">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val="0"/>
          <w:color w:val="auto"/>
          <w:spacing w:val="0"/>
          <w:sz w:val="44"/>
          <w:szCs w:val="44"/>
          <w:lang w:val="en-US" w:eastAsia="zh-CN"/>
        </w:rPr>
      </w:pPr>
      <w:r>
        <w:rPr>
          <w:rFonts w:hint="default" w:ascii="方正小标宋_GBK" w:hAnsi="方正小标宋_GBK" w:eastAsia="方正小标宋_GBK" w:cs="方正小标宋_GBK"/>
          <w:b w:val="0"/>
          <w:bCs w:val="0"/>
          <w:color w:val="auto"/>
          <w:spacing w:val="0"/>
          <w:sz w:val="44"/>
          <w:szCs w:val="44"/>
          <w:lang w:val="en-US" w:eastAsia="zh-CN"/>
        </w:rPr>
        <w:t>的政策意见</w:t>
      </w:r>
      <w:r>
        <w:rPr>
          <w:rFonts w:hint="eastAsia" w:ascii="方正小标宋_GBK" w:hAnsi="方正小标宋_GBK" w:eastAsia="方正小标宋_GBK" w:cs="方正小标宋_GBK"/>
          <w:b w:val="0"/>
          <w:bCs w:val="0"/>
          <w:color w:val="auto"/>
          <w:spacing w:val="0"/>
          <w:sz w:val="44"/>
          <w:szCs w:val="44"/>
          <w:lang w:val="en-US" w:eastAsia="zh-CN"/>
        </w:rPr>
        <w:t>（延续）</w:t>
      </w:r>
    </w:p>
    <w:p w14:paraId="4B44FE70">
      <w:pPr>
        <w:keepNext w:val="0"/>
        <w:keepLines w:val="0"/>
        <w:pageBreakBefore w:val="0"/>
        <w:widowControl w:val="0"/>
        <w:kinsoku/>
        <w:wordWrap/>
        <w:overflowPunct/>
        <w:topLinePunct w:val="0"/>
        <w:autoSpaceDE/>
        <w:autoSpaceDN/>
        <w:bidi w:val="0"/>
        <w:adjustRightInd/>
        <w:snapToGrid/>
        <w:spacing w:after="313" w:afterLines="50" w:line="700" w:lineRule="exact"/>
        <w:jc w:val="center"/>
        <w:textAlignment w:val="auto"/>
        <w:rPr>
          <w:rFonts w:hint="eastAsia" w:ascii="方正楷体_GBK" w:hAnsi="方正楷体_GBK" w:eastAsia="方正楷体_GBK" w:cs="方正楷体_GBK"/>
          <w:b w:val="0"/>
          <w:bCs w:val="0"/>
          <w:color w:val="auto"/>
          <w:spacing w:val="0"/>
          <w:sz w:val="36"/>
          <w:szCs w:val="36"/>
          <w:lang w:val="en-US" w:eastAsia="zh-CN"/>
        </w:rPr>
      </w:pPr>
      <w:r>
        <w:rPr>
          <w:rFonts w:hint="eastAsia" w:ascii="方正楷体_GBK" w:hAnsi="方正楷体_GBK" w:eastAsia="方正楷体_GBK" w:cs="方正楷体_GBK"/>
          <w:b w:val="0"/>
          <w:bCs w:val="0"/>
          <w:color w:val="auto"/>
          <w:spacing w:val="0"/>
          <w:sz w:val="36"/>
          <w:szCs w:val="36"/>
          <w:lang w:val="en-US" w:eastAsia="zh-CN"/>
        </w:rPr>
        <w:t>（征求意见稿）</w:t>
      </w:r>
    </w:p>
    <w:p w14:paraId="69C956B5">
      <w:pPr>
        <w:keepNext w:val="0"/>
        <w:keepLines w:val="0"/>
        <w:pageBreakBefore w:val="0"/>
        <w:widowControl w:val="0"/>
        <w:kinsoku/>
        <w:wordWrap/>
        <w:overflowPunct/>
        <w:topLinePunct w:val="0"/>
        <w:autoSpaceDE/>
        <w:autoSpaceDN/>
        <w:bidi w:val="0"/>
        <w:adjustRightInd/>
        <w:snapToGrid/>
        <w:spacing w:line="590" w:lineRule="exact"/>
        <w:ind w:firstLine="664" w:firstLineChars="200"/>
        <w:textAlignment w:val="auto"/>
        <w:rPr>
          <w:rFonts w:hint="eastAsia" w:ascii="Times New Roman" w:hAnsi="Times New Roman" w:eastAsia="方正黑体_GBK" w:cs="Times New Roman"/>
          <w:color w:val="auto"/>
          <w:spacing w:val="6"/>
          <w:sz w:val="32"/>
          <w:szCs w:val="32"/>
          <w:lang w:val="en-US" w:eastAsia="zh-CN"/>
        </w:rPr>
      </w:pPr>
      <w:r>
        <w:rPr>
          <w:rFonts w:hint="eastAsia" w:ascii="方正黑体_GBK" w:hAnsi="方正黑体_GBK" w:eastAsia="方正黑体_GBK" w:cs="方正黑体_GBK"/>
          <w:color w:val="auto"/>
          <w:spacing w:val="6"/>
          <w:sz w:val="32"/>
          <w:szCs w:val="32"/>
          <w:lang w:val="en-US" w:eastAsia="zh-CN"/>
        </w:rPr>
        <w:t>一</w:t>
      </w:r>
      <w:r>
        <w:rPr>
          <w:rFonts w:hint="default" w:ascii="方正黑体_GBK" w:hAnsi="方正黑体_GBK" w:eastAsia="方正黑体_GBK" w:cs="方正黑体_GBK"/>
          <w:color w:val="auto"/>
          <w:spacing w:val="6"/>
          <w:sz w:val="32"/>
          <w:szCs w:val="32"/>
          <w:lang w:val="en-US" w:eastAsia="zh-CN"/>
        </w:rPr>
        <w:t>、支持企业强化健康管理能力</w:t>
      </w:r>
      <w:bookmarkStart w:id="0" w:name="_GoBack"/>
      <w:bookmarkEnd w:id="0"/>
    </w:p>
    <w:p w14:paraId="55FF8C40">
      <w:pPr>
        <w:keepNext w:val="0"/>
        <w:keepLines w:val="0"/>
        <w:pageBreakBefore w:val="0"/>
        <w:widowControl w:val="0"/>
        <w:tabs>
          <w:tab w:val="left" w:pos="4410"/>
        </w:tabs>
        <w:kinsoku/>
        <w:wordWrap/>
        <w:overflowPunct/>
        <w:topLinePunct w:val="0"/>
        <w:autoSpaceDE/>
        <w:autoSpaceDN/>
        <w:bidi w:val="0"/>
        <w:adjustRightInd w:val="0"/>
        <w:snapToGrid w:val="0"/>
        <w:spacing w:before="0" w:line="590" w:lineRule="exact"/>
        <w:ind w:right="0" w:firstLine="664" w:firstLineChars="200"/>
        <w:jc w:val="both"/>
        <w:textAlignment w:val="baseline"/>
        <w:rPr>
          <w:rFonts w:hint="default" w:ascii="Times New Roman" w:hAnsi="Times New Roman" w:eastAsia="方正仿宋_GBK" w:cs="Times New Roman"/>
          <w:b w:val="0"/>
          <w:bCs w:val="0"/>
          <w:color w:val="auto"/>
          <w:spacing w:val="6"/>
          <w:sz w:val="32"/>
          <w:szCs w:val="32"/>
          <w:highlight w:val="none"/>
          <w:lang w:val="en-US" w:eastAsia="zh-CN"/>
        </w:rPr>
      </w:pPr>
      <w:r>
        <w:rPr>
          <w:rFonts w:hint="default" w:ascii="Times New Roman" w:hAnsi="Times New Roman" w:eastAsia="方正仿宋_GBK" w:cs="Times New Roman"/>
          <w:color w:val="auto"/>
          <w:spacing w:val="6"/>
          <w:sz w:val="32"/>
          <w:szCs w:val="32"/>
          <w:lang w:val="en-US" w:eastAsia="zh-CN"/>
        </w:rPr>
        <w:t>企业健全健康管理制度，设立首席健康官或健康管理员岗位，建立医企协同关系，聘用专业人员担任企业健康顾问，强化健康管理、心理健康、职业健康和公共卫生管理功能，为企业员工建立健康管理档案、职业健康管理台账。对经卫健部门验收合格的企业，给予</w:t>
      </w:r>
      <w:r>
        <w:rPr>
          <w:rFonts w:hint="eastAsia" w:ascii="Times New Roman" w:hAnsi="Times New Roman" w:eastAsia="方正仿宋_GBK" w:cs="Times New Roman"/>
          <w:color w:val="auto"/>
          <w:spacing w:val="6"/>
          <w:sz w:val="32"/>
          <w:szCs w:val="32"/>
          <w:lang w:val="en-US" w:eastAsia="zh-CN"/>
        </w:rPr>
        <w:t>2</w:t>
      </w:r>
      <w:r>
        <w:rPr>
          <w:rFonts w:hint="default" w:ascii="Times New Roman" w:hAnsi="Times New Roman" w:eastAsia="方正仿宋_GBK" w:cs="Times New Roman"/>
          <w:color w:val="auto"/>
          <w:spacing w:val="6"/>
          <w:sz w:val="32"/>
          <w:szCs w:val="32"/>
          <w:lang w:val="en-US" w:eastAsia="zh-CN"/>
        </w:rPr>
        <w:t>万元</w:t>
      </w:r>
      <w:r>
        <w:rPr>
          <w:rFonts w:hint="eastAsia" w:ascii="Times New Roman" w:hAnsi="Times New Roman" w:eastAsia="方正仿宋_GBK" w:cs="Times New Roman"/>
          <w:color w:val="auto"/>
          <w:spacing w:val="6"/>
          <w:sz w:val="32"/>
          <w:szCs w:val="32"/>
          <w:lang w:val="en-US" w:eastAsia="zh-CN"/>
        </w:rPr>
        <w:t>奖励</w:t>
      </w:r>
      <w:r>
        <w:rPr>
          <w:rFonts w:hint="default" w:ascii="Times New Roman" w:hAnsi="Times New Roman" w:eastAsia="方正仿宋_GBK" w:cs="Times New Roman"/>
          <w:b w:val="0"/>
          <w:bCs w:val="0"/>
          <w:color w:val="auto"/>
          <w:spacing w:val="6"/>
          <w:sz w:val="32"/>
          <w:szCs w:val="32"/>
          <w:highlight w:val="none"/>
          <w:lang w:val="en-US" w:eastAsia="zh-CN"/>
        </w:rPr>
        <w:t>。</w:t>
      </w:r>
    </w:p>
    <w:p w14:paraId="17633924">
      <w:pPr>
        <w:keepNext w:val="0"/>
        <w:keepLines w:val="0"/>
        <w:pageBreakBefore w:val="0"/>
        <w:widowControl w:val="0"/>
        <w:kinsoku/>
        <w:wordWrap/>
        <w:overflowPunct/>
        <w:topLinePunct w:val="0"/>
        <w:autoSpaceDE/>
        <w:autoSpaceDN/>
        <w:bidi w:val="0"/>
        <w:adjustRightInd/>
        <w:snapToGrid/>
        <w:spacing w:line="590" w:lineRule="exact"/>
        <w:ind w:firstLine="664" w:firstLineChars="200"/>
        <w:textAlignment w:val="auto"/>
        <w:rPr>
          <w:rFonts w:hint="default" w:ascii="方正黑体_GBK" w:hAnsi="方正黑体_GBK" w:eastAsia="方正黑体_GBK" w:cs="方正黑体_GBK"/>
          <w:color w:val="auto"/>
          <w:spacing w:val="6"/>
          <w:sz w:val="32"/>
          <w:szCs w:val="32"/>
          <w:lang w:val="en-US" w:eastAsia="zh-CN"/>
        </w:rPr>
      </w:pPr>
      <w:r>
        <w:rPr>
          <w:rFonts w:hint="eastAsia" w:ascii="方正黑体_GBK" w:hAnsi="方正黑体_GBK" w:eastAsia="方正黑体_GBK" w:cs="方正黑体_GBK"/>
          <w:color w:val="auto"/>
          <w:spacing w:val="6"/>
          <w:sz w:val="32"/>
          <w:szCs w:val="32"/>
          <w:lang w:val="en-US" w:eastAsia="zh-CN"/>
        </w:rPr>
        <w:t>二</w:t>
      </w:r>
      <w:r>
        <w:rPr>
          <w:rFonts w:hint="default" w:ascii="方正黑体_GBK" w:hAnsi="方正黑体_GBK" w:eastAsia="方正黑体_GBK" w:cs="方正黑体_GBK"/>
          <w:color w:val="auto"/>
          <w:spacing w:val="6"/>
          <w:sz w:val="32"/>
          <w:szCs w:val="32"/>
          <w:lang w:val="en-US" w:eastAsia="zh-CN"/>
        </w:rPr>
        <w:t>、支持企业建立医企协作关系</w:t>
      </w:r>
    </w:p>
    <w:p w14:paraId="639B08CD">
      <w:pPr>
        <w:keepNext w:val="0"/>
        <w:keepLines w:val="0"/>
        <w:pageBreakBefore w:val="0"/>
        <w:widowControl w:val="0"/>
        <w:tabs>
          <w:tab w:val="left" w:pos="4410"/>
        </w:tabs>
        <w:kinsoku/>
        <w:wordWrap/>
        <w:overflowPunct/>
        <w:topLinePunct w:val="0"/>
        <w:autoSpaceDE/>
        <w:autoSpaceDN/>
        <w:bidi w:val="0"/>
        <w:adjustRightInd w:val="0"/>
        <w:snapToGrid w:val="0"/>
        <w:spacing w:before="0" w:line="590" w:lineRule="exact"/>
        <w:ind w:right="0" w:firstLine="664" w:firstLineChars="200"/>
        <w:jc w:val="both"/>
        <w:textAlignment w:val="baseline"/>
        <w:rPr>
          <w:rFonts w:hint="default" w:ascii="Times New Roman" w:hAnsi="Times New Roman" w:eastAsia="方正仿宋_GBK" w:cs="Times New Roman"/>
          <w:color w:val="auto"/>
          <w:spacing w:val="6"/>
          <w:sz w:val="32"/>
          <w:szCs w:val="32"/>
          <w:highlight w:val="none"/>
          <w:lang w:val="en-US" w:eastAsia="zh-CN"/>
        </w:rPr>
      </w:pPr>
      <w:r>
        <w:rPr>
          <w:rFonts w:hint="eastAsia" w:ascii="Times New Roman" w:hAnsi="Times New Roman" w:eastAsia="方正仿宋_GBK" w:cs="Times New Roman"/>
          <w:color w:val="auto"/>
          <w:spacing w:val="6"/>
          <w:sz w:val="32"/>
          <w:szCs w:val="32"/>
          <w:lang w:val="en-US" w:eastAsia="zh-CN"/>
        </w:rPr>
        <w:t>企业在依法依规开展职业健康体检的基础上，向具有合法资质的医疗卫生机构、心理健康服务机构或专业健康管理机构，购买健康宣传、健康咨询、急救培训、体重管理、心理健康评估、中医养生等专业健康服务（普通员工体检除外），提升企业健康管理水平和员工健康素养。按照购买服务实际发生费用的50%比例给予补贴，单个企业年度补贴金额不超过1万元</w:t>
      </w:r>
      <w:r>
        <w:rPr>
          <w:rFonts w:hint="default" w:ascii="Times New Roman" w:hAnsi="Times New Roman" w:eastAsia="方正仿宋_GBK" w:cs="Times New Roman"/>
          <w:color w:val="auto"/>
          <w:spacing w:val="6"/>
          <w:sz w:val="32"/>
          <w:szCs w:val="32"/>
          <w:highlight w:val="none"/>
          <w:lang w:val="en-US" w:eastAsia="zh-CN"/>
        </w:rPr>
        <w:t>。</w:t>
      </w:r>
    </w:p>
    <w:p w14:paraId="132AC096">
      <w:pPr>
        <w:keepNext w:val="0"/>
        <w:keepLines w:val="0"/>
        <w:pageBreakBefore w:val="0"/>
        <w:widowControl w:val="0"/>
        <w:kinsoku/>
        <w:wordWrap/>
        <w:overflowPunct/>
        <w:topLinePunct w:val="0"/>
        <w:autoSpaceDE/>
        <w:autoSpaceDN/>
        <w:bidi w:val="0"/>
        <w:adjustRightInd/>
        <w:snapToGrid/>
        <w:spacing w:line="590" w:lineRule="exact"/>
        <w:ind w:firstLine="664" w:firstLineChars="200"/>
        <w:textAlignment w:val="auto"/>
        <w:rPr>
          <w:rFonts w:hint="default" w:ascii="方正黑体_GBK" w:hAnsi="方正黑体_GBK" w:eastAsia="方正黑体_GBK" w:cs="方正黑体_GBK"/>
          <w:color w:val="auto"/>
          <w:spacing w:val="6"/>
          <w:sz w:val="32"/>
          <w:szCs w:val="32"/>
          <w:lang w:val="en-US" w:eastAsia="zh-CN"/>
        </w:rPr>
      </w:pPr>
      <w:r>
        <w:rPr>
          <w:rFonts w:hint="eastAsia" w:ascii="方正黑体_GBK" w:hAnsi="方正黑体_GBK" w:eastAsia="方正黑体_GBK" w:cs="方正黑体_GBK"/>
          <w:color w:val="auto"/>
          <w:spacing w:val="6"/>
          <w:sz w:val="32"/>
          <w:szCs w:val="32"/>
          <w:lang w:val="en-US" w:eastAsia="zh-CN"/>
        </w:rPr>
        <w:t>三</w:t>
      </w:r>
      <w:r>
        <w:rPr>
          <w:rFonts w:hint="default" w:ascii="方正黑体_GBK" w:hAnsi="方正黑体_GBK" w:eastAsia="方正黑体_GBK" w:cs="方正黑体_GBK"/>
          <w:color w:val="auto"/>
          <w:spacing w:val="6"/>
          <w:sz w:val="32"/>
          <w:szCs w:val="32"/>
          <w:lang w:val="en-US" w:eastAsia="zh-CN"/>
        </w:rPr>
        <w:t>、支持企业建立健康阵地</w:t>
      </w:r>
    </w:p>
    <w:p w14:paraId="07840CFF">
      <w:pPr>
        <w:keepNext w:val="0"/>
        <w:keepLines w:val="0"/>
        <w:pageBreakBefore w:val="0"/>
        <w:widowControl w:val="0"/>
        <w:tabs>
          <w:tab w:val="left" w:pos="4410"/>
        </w:tabs>
        <w:kinsoku/>
        <w:wordWrap/>
        <w:overflowPunct/>
        <w:topLinePunct w:val="0"/>
        <w:autoSpaceDE/>
        <w:autoSpaceDN/>
        <w:bidi w:val="0"/>
        <w:adjustRightInd w:val="0"/>
        <w:snapToGrid w:val="0"/>
        <w:spacing w:line="570" w:lineRule="exact"/>
        <w:ind w:left="0" w:right="0" w:firstLine="664" w:firstLineChars="200"/>
        <w:textAlignment w:val="baseline"/>
        <w:rPr>
          <w:rFonts w:hint="eastAsia" w:ascii="Times New Roman" w:hAnsi="Times New Roman" w:eastAsia="方正仿宋_GBK" w:cs="Times New Roman"/>
          <w:color w:val="auto"/>
          <w:spacing w:val="6"/>
          <w:sz w:val="32"/>
          <w:szCs w:val="32"/>
          <w:highlight w:val="none"/>
          <w:lang w:val="en-US" w:eastAsia="zh-CN"/>
        </w:rPr>
      </w:pPr>
      <w:r>
        <w:rPr>
          <w:rFonts w:hint="default" w:ascii="Times New Roman" w:hAnsi="Times New Roman" w:eastAsia="方正仿宋_GBK" w:cs="Times New Roman"/>
          <w:color w:val="auto"/>
          <w:spacing w:val="6"/>
          <w:sz w:val="32"/>
          <w:szCs w:val="32"/>
          <w:lang w:val="en-US" w:eastAsia="zh-CN"/>
        </w:rPr>
        <w:t>有条件的企业、园区和楼宇运营</w:t>
      </w:r>
      <w:r>
        <w:rPr>
          <w:rFonts w:hint="eastAsia" w:ascii="Times New Roman" w:hAnsi="Times New Roman" w:eastAsia="方正仿宋_GBK" w:cs="Times New Roman"/>
          <w:color w:val="auto"/>
          <w:spacing w:val="6"/>
          <w:sz w:val="32"/>
          <w:szCs w:val="32"/>
          <w:lang w:val="en-US" w:eastAsia="zh-CN"/>
        </w:rPr>
        <w:t>或</w:t>
      </w:r>
      <w:r>
        <w:rPr>
          <w:rFonts w:hint="default" w:ascii="Times New Roman" w:hAnsi="Times New Roman" w:eastAsia="方正仿宋_GBK" w:cs="Times New Roman"/>
          <w:color w:val="auto"/>
          <w:spacing w:val="6"/>
          <w:sz w:val="32"/>
          <w:szCs w:val="32"/>
          <w:lang w:val="en-US" w:eastAsia="zh-CN"/>
        </w:rPr>
        <w:t>管理机构</w:t>
      </w:r>
      <w:r>
        <w:rPr>
          <w:rFonts w:hint="eastAsia" w:ascii="Times New Roman" w:hAnsi="Times New Roman" w:eastAsia="方正仿宋_GBK" w:cs="Times New Roman"/>
          <w:color w:val="auto"/>
          <w:spacing w:val="6"/>
          <w:sz w:val="32"/>
          <w:szCs w:val="32"/>
          <w:lang w:val="en-US" w:eastAsia="zh-CN"/>
        </w:rPr>
        <w:t>建设健康阵地（</w:t>
      </w:r>
      <w:r>
        <w:rPr>
          <w:rFonts w:hint="default" w:ascii="Times New Roman" w:hAnsi="Times New Roman" w:eastAsia="方正仿宋_GBK" w:cs="Times New Roman"/>
          <w:color w:val="auto"/>
          <w:spacing w:val="6"/>
          <w:sz w:val="32"/>
          <w:szCs w:val="32"/>
          <w:lang w:val="en-US" w:eastAsia="zh-CN"/>
        </w:rPr>
        <w:t>健康小屋</w:t>
      </w:r>
      <w:r>
        <w:rPr>
          <w:rFonts w:hint="eastAsia" w:ascii="Times New Roman" w:hAnsi="Times New Roman" w:eastAsia="方正仿宋_GBK" w:cs="Times New Roman"/>
          <w:color w:val="auto"/>
          <w:spacing w:val="6"/>
          <w:sz w:val="32"/>
          <w:szCs w:val="32"/>
          <w:lang w:val="en-US" w:eastAsia="zh-CN"/>
        </w:rPr>
        <w:t>、医务室），</w:t>
      </w:r>
      <w:r>
        <w:rPr>
          <w:rFonts w:hint="default" w:ascii="Times New Roman" w:hAnsi="Times New Roman" w:eastAsia="方正仿宋_GBK" w:cs="Times New Roman"/>
          <w:color w:val="auto"/>
          <w:spacing w:val="6"/>
          <w:sz w:val="32"/>
          <w:szCs w:val="32"/>
          <w:lang w:val="en-US" w:eastAsia="zh-CN"/>
        </w:rPr>
        <w:t>与医疗卫生机构建立合作，为企业员工</w:t>
      </w:r>
      <w:r>
        <w:rPr>
          <w:rFonts w:hint="eastAsia" w:ascii="Times New Roman" w:hAnsi="Times New Roman" w:eastAsia="方正仿宋_GBK" w:cs="Times New Roman"/>
          <w:color w:val="auto"/>
          <w:spacing w:val="6"/>
          <w:sz w:val="32"/>
          <w:szCs w:val="32"/>
          <w:lang w:val="en-US" w:eastAsia="zh-CN"/>
        </w:rPr>
        <w:t>便捷的</w:t>
      </w:r>
      <w:r>
        <w:rPr>
          <w:rFonts w:hint="default" w:ascii="Times New Roman" w:hAnsi="Times New Roman" w:eastAsia="方正仿宋_GBK" w:cs="Times New Roman"/>
          <w:color w:val="auto"/>
          <w:spacing w:val="6"/>
          <w:sz w:val="32"/>
          <w:szCs w:val="32"/>
          <w:lang w:val="en-US" w:eastAsia="zh-CN"/>
        </w:rPr>
        <w:t>健康服务。对</w:t>
      </w:r>
      <w:r>
        <w:rPr>
          <w:rFonts w:hint="eastAsia" w:ascii="Times New Roman" w:hAnsi="Times New Roman" w:eastAsia="方正仿宋_GBK" w:cs="Times New Roman"/>
          <w:b w:val="0"/>
          <w:bCs w:val="0"/>
          <w:color w:val="auto"/>
          <w:spacing w:val="6"/>
          <w:sz w:val="32"/>
          <w:szCs w:val="32"/>
          <w:highlight w:val="none"/>
          <w:lang w:val="en-US" w:eastAsia="zh-CN"/>
        </w:rPr>
        <w:t>建设有合格“健康小屋”</w:t>
      </w:r>
      <w:r>
        <w:rPr>
          <w:rFonts w:hint="default" w:ascii="Times New Roman" w:hAnsi="Times New Roman" w:eastAsia="方正仿宋_GBK" w:cs="Times New Roman"/>
          <w:b w:val="0"/>
          <w:bCs w:val="0"/>
          <w:color w:val="auto"/>
          <w:spacing w:val="6"/>
          <w:sz w:val="32"/>
          <w:szCs w:val="32"/>
          <w:highlight w:val="none"/>
          <w:lang w:val="en-US" w:eastAsia="zh-CN"/>
        </w:rPr>
        <w:t>的企业，给予</w:t>
      </w:r>
      <w:r>
        <w:rPr>
          <w:rFonts w:hint="eastAsia" w:ascii="Times New Roman" w:hAnsi="Times New Roman" w:eastAsia="方正仿宋_GBK" w:cs="Times New Roman"/>
          <w:b w:val="0"/>
          <w:bCs w:val="0"/>
          <w:color w:val="auto"/>
          <w:spacing w:val="6"/>
          <w:sz w:val="32"/>
          <w:szCs w:val="32"/>
          <w:highlight w:val="none"/>
          <w:lang w:val="en-US" w:eastAsia="zh-CN"/>
        </w:rPr>
        <w:t>0.6万元的</w:t>
      </w:r>
      <w:r>
        <w:rPr>
          <w:rFonts w:hint="default" w:ascii="Times New Roman" w:hAnsi="Times New Roman" w:eastAsia="方正仿宋_GBK" w:cs="Times New Roman"/>
          <w:b w:val="0"/>
          <w:bCs w:val="0"/>
          <w:color w:val="auto"/>
          <w:spacing w:val="6"/>
          <w:sz w:val="32"/>
          <w:szCs w:val="32"/>
          <w:highlight w:val="none"/>
          <w:lang w:val="en-US" w:eastAsia="zh-CN"/>
        </w:rPr>
        <w:t>一次性奖励</w:t>
      </w:r>
      <w:r>
        <w:rPr>
          <w:rFonts w:hint="eastAsia" w:ascii="Times New Roman" w:hAnsi="Times New Roman" w:eastAsia="方正仿宋_GBK" w:cs="Times New Roman"/>
          <w:b w:val="0"/>
          <w:bCs w:val="0"/>
          <w:color w:val="auto"/>
          <w:spacing w:val="6"/>
          <w:sz w:val="32"/>
          <w:szCs w:val="32"/>
          <w:highlight w:val="none"/>
          <w:lang w:val="en-US" w:eastAsia="zh-CN"/>
        </w:rPr>
        <w:t>，</w:t>
      </w:r>
      <w:r>
        <w:rPr>
          <w:rFonts w:hint="default" w:ascii="Times New Roman" w:hAnsi="Times New Roman" w:eastAsia="方正仿宋_GBK" w:cs="Times New Roman"/>
          <w:color w:val="auto"/>
          <w:spacing w:val="6"/>
          <w:sz w:val="32"/>
          <w:szCs w:val="32"/>
          <w:lang w:val="en-US" w:eastAsia="zh-CN"/>
        </w:rPr>
        <w:t>对</w:t>
      </w:r>
      <w:r>
        <w:rPr>
          <w:rFonts w:hint="eastAsia" w:ascii="Times New Roman" w:hAnsi="Times New Roman" w:eastAsia="方正仿宋_GBK" w:cs="Times New Roman"/>
          <w:b w:val="0"/>
          <w:bCs w:val="0"/>
          <w:color w:val="auto"/>
          <w:spacing w:val="6"/>
          <w:sz w:val="32"/>
          <w:szCs w:val="32"/>
          <w:highlight w:val="none"/>
          <w:lang w:val="en-US" w:eastAsia="zh-CN"/>
        </w:rPr>
        <w:t>建设有合格“医务室”</w:t>
      </w:r>
      <w:r>
        <w:rPr>
          <w:rFonts w:hint="default" w:ascii="Times New Roman" w:hAnsi="Times New Roman" w:eastAsia="方正仿宋_GBK" w:cs="Times New Roman"/>
          <w:b w:val="0"/>
          <w:bCs w:val="0"/>
          <w:color w:val="auto"/>
          <w:spacing w:val="6"/>
          <w:sz w:val="32"/>
          <w:szCs w:val="32"/>
          <w:highlight w:val="none"/>
          <w:lang w:val="en-US" w:eastAsia="zh-CN"/>
        </w:rPr>
        <w:t>的企业</w:t>
      </w:r>
      <w:r>
        <w:rPr>
          <w:rFonts w:hint="eastAsia" w:ascii="Times New Roman" w:hAnsi="Times New Roman" w:eastAsia="方正仿宋_GBK" w:cs="Times New Roman"/>
          <w:b w:val="0"/>
          <w:bCs w:val="0"/>
          <w:color w:val="auto"/>
          <w:spacing w:val="6"/>
          <w:sz w:val="32"/>
          <w:szCs w:val="32"/>
          <w:highlight w:val="none"/>
          <w:lang w:val="en-US" w:eastAsia="zh-CN"/>
        </w:rPr>
        <w:t>，</w:t>
      </w:r>
      <w:r>
        <w:rPr>
          <w:rFonts w:hint="default" w:ascii="Times New Roman" w:hAnsi="Times New Roman" w:eastAsia="方正仿宋_GBK" w:cs="Times New Roman"/>
          <w:b w:val="0"/>
          <w:bCs w:val="0"/>
          <w:color w:val="auto"/>
          <w:spacing w:val="6"/>
          <w:sz w:val="32"/>
          <w:szCs w:val="32"/>
          <w:highlight w:val="none"/>
          <w:lang w:val="en-US" w:eastAsia="zh-CN"/>
        </w:rPr>
        <w:t>给予</w:t>
      </w:r>
      <w:r>
        <w:rPr>
          <w:rFonts w:hint="eastAsia" w:ascii="Times New Roman" w:hAnsi="Times New Roman" w:eastAsia="方正仿宋_GBK" w:cs="Times New Roman"/>
          <w:b w:val="0"/>
          <w:bCs w:val="0"/>
          <w:color w:val="auto"/>
          <w:spacing w:val="6"/>
          <w:sz w:val="32"/>
          <w:szCs w:val="32"/>
          <w:highlight w:val="none"/>
          <w:lang w:val="en-US" w:eastAsia="zh-CN"/>
        </w:rPr>
        <w:t>1</w:t>
      </w:r>
      <w:r>
        <w:rPr>
          <w:rFonts w:hint="default" w:ascii="Times New Roman" w:hAnsi="Times New Roman" w:eastAsia="方正仿宋_GBK" w:cs="Times New Roman"/>
          <w:b w:val="0"/>
          <w:bCs w:val="0"/>
          <w:color w:val="auto"/>
          <w:spacing w:val="6"/>
          <w:sz w:val="32"/>
          <w:szCs w:val="32"/>
          <w:highlight w:val="none"/>
          <w:lang w:val="en-US" w:eastAsia="zh-CN"/>
        </w:rPr>
        <w:t>万元的一次性奖励</w:t>
      </w:r>
      <w:r>
        <w:rPr>
          <w:rFonts w:hint="eastAsia" w:ascii="Times New Roman" w:hAnsi="Times New Roman" w:eastAsia="方正仿宋_GBK" w:cs="Times New Roman"/>
          <w:color w:val="auto"/>
          <w:spacing w:val="6"/>
          <w:sz w:val="32"/>
          <w:szCs w:val="32"/>
          <w:highlight w:val="none"/>
          <w:lang w:val="en-US" w:eastAsia="zh-CN"/>
        </w:rPr>
        <w:t>。</w:t>
      </w:r>
    </w:p>
    <w:p w14:paraId="18FFFEE3">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64" w:firstLineChars="200"/>
        <w:textAlignment w:val="auto"/>
        <w:rPr>
          <w:rFonts w:hint="default" w:ascii="方正黑体_GBK" w:hAnsi="方正黑体_GBK" w:eastAsia="方正黑体_GBK" w:cs="方正黑体_GBK"/>
          <w:color w:val="auto"/>
          <w:spacing w:val="6"/>
          <w:sz w:val="32"/>
          <w:szCs w:val="32"/>
          <w:lang w:val="en-US" w:eastAsia="zh-CN"/>
        </w:rPr>
      </w:pPr>
      <w:r>
        <w:rPr>
          <w:rFonts w:hint="eastAsia" w:ascii="方正黑体_GBK" w:hAnsi="方正黑体_GBK" w:eastAsia="方正黑体_GBK" w:cs="方正黑体_GBK"/>
          <w:color w:val="auto"/>
          <w:spacing w:val="6"/>
          <w:kern w:val="2"/>
          <w:sz w:val="32"/>
          <w:szCs w:val="32"/>
          <w:lang w:val="en-US" w:eastAsia="zh-CN" w:bidi="ar-SA"/>
        </w:rPr>
        <w:t>四、支持园区楼宇开展健康惠企服务</w:t>
      </w:r>
    </w:p>
    <w:p w14:paraId="762DF80A">
      <w:pPr>
        <w:keepNext w:val="0"/>
        <w:keepLines w:val="0"/>
        <w:pageBreakBefore w:val="0"/>
        <w:widowControl w:val="0"/>
        <w:tabs>
          <w:tab w:val="left" w:pos="4410"/>
        </w:tabs>
        <w:kinsoku/>
        <w:wordWrap/>
        <w:overflowPunct/>
        <w:topLinePunct w:val="0"/>
        <w:autoSpaceDE/>
        <w:autoSpaceDN/>
        <w:bidi w:val="0"/>
        <w:adjustRightInd w:val="0"/>
        <w:snapToGrid w:val="0"/>
        <w:spacing w:line="570" w:lineRule="exact"/>
        <w:ind w:left="0" w:right="0" w:firstLine="664" w:firstLineChars="200"/>
        <w:textAlignment w:val="baseline"/>
        <w:rPr>
          <w:rFonts w:hint="default" w:ascii="Times New Roman" w:hAnsi="Times New Roman" w:eastAsia="方正仿宋_GBK" w:cs="Times New Roman"/>
          <w:color w:val="auto"/>
          <w:spacing w:val="6"/>
          <w:sz w:val="32"/>
          <w:szCs w:val="32"/>
          <w:lang w:val="en-US" w:eastAsia="zh-CN"/>
        </w:rPr>
      </w:pPr>
      <w:r>
        <w:rPr>
          <w:rFonts w:hint="eastAsia" w:ascii="Times New Roman" w:hAnsi="Times New Roman" w:eastAsia="方正仿宋_GBK" w:cs="Times New Roman"/>
          <w:color w:val="auto"/>
          <w:spacing w:val="6"/>
          <w:sz w:val="32"/>
          <w:szCs w:val="32"/>
          <w:lang w:val="en-US" w:eastAsia="zh-CN"/>
        </w:rPr>
        <w:t>园区和楼宇运营管理机构在按照法律法规要求落实基本义务和履行物业服务职责的基础上，建立健全健康管理制度、建设健康活动阵地，</w:t>
      </w:r>
      <w:r>
        <w:rPr>
          <w:rFonts w:hint="default" w:ascii="Times New Roman" w:hAnsi="Times New Roman" w:eastAsia="方正仿宋_GBK" w:cs="Times New Roman"/>
          <w:color w:val="auto"/>
          <w:spacing w:val="6"/>
          <w:sz w:val="32"/>
          <w:szCs w:val="32"/>
          <w:lang w:val="en-US" w:eastAsia="zh-CN"/>
        </w:rPr>
        <w:t>与医疗卫生机构建立合作，</w:t>
      </w:r>
      <w:r>
        <w:rPr>
          <w:rFonts w:hint="eastAsia" w:ascii="Times New Roman" w:hAnsi="Times New Roman" w:eastAsia="方正仿宋_GBK" w:cs="Times New Roman"/>
          <w:color w:val="auto"/>
          <w:spacing w:val="6"/>
          <w:sz w:val="32"/>
          <w:szCs w:val="32"/>
          <w:lang w:val="en-US" w:eastAsia="zh-CN"/>
        </w:rPr>
        <w:t>面向入驻企业及员工提供健康宣传、健康咨询、健康检测、急救培训等公益性健康服务。对有提供惠企服务的园区、楼宇运营管理机构，给予1万元一次性奖励。</w:t>
      </w:r>
    </w:p>
    <w:p w14:paraId="63B4B66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F72CC9"/>
    <w:rsid w:val="2D3D56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622</Words>
  <Characters>626</Characters>
  <Lines>0</Lines>
  <Paragraphs>0</Paragraphs>
  <TotalTime>0</TotalTime>
  <ScaleCrop>false</ScaleCrop>
  <LinksUpToDate>false</LinksUpToDate>
  <CharactersWithSpaces>626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2026-06-25T09:28:00Z</dcterms:created>
  <dc:creator>hayden</dc:creator>
  <cp:lastModifiedBy>。。。</cp:lastModifiedBy>
  <dcterms:modified xsi:type="dcterms:W3CDTF">2026-06-26T03:24:11Z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eyJoZGlkIjoiYmRkMzU5MTliM2ZlNmNlNmU5ZWQwNGVkYjc4MmFmYTAiLCJ1c2VySWQiOiIyNjYwNDA4MzgifQ==</vt:lpwstr>
  </property>
  <property fmtid="{D5CDD505-2E9C-101B-9397-08002B2CF9AE}" pid="4" name="ICV">
    <vt:lpwstr>9BB41D58EF0842CBBAE460420BA23D03_12</vt:lpwstr>
  </property>
</Properties>
</file>