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9C11" w14:textId="77777777" w:rsidR="005F1C1D" w:rsidRDefault="00000000">
      <w:pPr>
        <w:pStyle w:val="a4"/>
        <w:ind w:left="0"/>
        <w:rPr>
          <w:rFonts w:ascii="Times New Roman" w:eastAsia="黑体"/>
          <w:sz w:val="32"/>
        </w:rPr>
      </w:pPr>
      <w:r>
        <w:rPr>
          <w:rFonts w:ascii="Times New Roman" w:eastAsia="黑体"/>
          <w:sz w:val="32"/>
        </w:rPr>
        <w:t>附件</w:t>
      </w:r>
    </w:p>
    <w:p w14:paraId="37EF2BB7" w14:textId="77777777" w:rsidR="005F1C1D" w:rsidRDefault="00000000">
      <w:pPr>
        <w:spacing w:line="576" w:lineRule="exact"/>
        <w:jc w:val="center"/>
        <w:rPr>
          <w:rFonts w:eastAsia="CESI仿宋-GB2312"/>
          <w:color w:val="000000" w:themeColor="text1"/>
          <w:kern w:val="60"/>
          <w:sz w:val="44"/>
          <w:szCs w:val="44"/>
        </w:rPr>
      </w:pPr>
      <w:r>
        <w:rPr>
          <w:rFonts w:eastAsia="方正小标宋简体"/>
          <w:color w:val="000000" w:themeColor="text1"/>
          <w:kern w:val="60"/>
          <w:sz w:val="44"/>
          <w:szCs w:val="44"/>
        </w:rPr>
        <w:t>市级财政科技计划专项资金管理办法</w:t>
      </w:r>
    </w:p>
    <w:p w14:paraId="6D6CE8C4" w14:textId="77777777" w:rsidR="005F1C1D" w:rsidRDefault="005F1C1D">
      <w:pPr>
        <w:wordWrap w:val="0"/>
        <w:spacing w:line="576" w:lineRule="exact"/>
        <w:ind w:right="20"/>
        <w:jc w:val="center"/>
        <w:textAlignment w:val="baseline"/>
        <w:rPr>
          <w:rFonts w:eastAsia="黑体"/>
          <w:color w:val="000000" w:themeColor="text1"/>
          <w:spacing w:val="2"/>
        </w:rPr>
      </w:pPr>
    </w:p>
    <w:p w14:paraId="062A8684" w14:textId="77777777" w:rsidR="005F1C1D" w:rsidRDefault="00000000">
      <w:pPr>
        <w:wordWrap w:val="0"/>
        <w:spacing w:line="576" w:lineRule="exact"/>
        <w:ind w:right="20"/>
        <w:jc w:val="center"/>
        <w:textAlignment w:val="baseline"/>
        <w:rPr>
          <w:rFonts w:eastAsia="黑体"/>
          <w:color w:val="000000" w:themeColor="text1"/>
          <w:spacing w:val="2"/>
        </w:rPr>
      </w:pPr>
      <w:r>
        <w:rPr>
          <w:rFonts w:eastAsia="黑体"/>
          <w:color w:val="000000" w:themeColor="text1"/>
          <w:spacing w:val="2"/>
        </w:rPr>
        <w:t>第一章</w:t>
      </w:r>
      <w:r>
        <w:rPr>
          <w:rFonts w:eastAsia="黑体"/>
          <w:color w:val="000000" w:themeColor="text1"/>
          <w:spacing w:val="2"/>
        </w:rPr>
        <w:t xml:space="preserve">  </w:t>
      </w:r>
      <w:r>
        <w:rPr>
          <w:rFonts w:eastAsia="黑体"/>
          <w:color w:val="000000" w:themeColor="text1"/>
          <w:spacing w:val="2"/>
        </w:rPr>
        <w:t>总则</w:t>
      </w:r>
    </w:p>
    <w:p w14:paraId="28772B3B"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第一条</w:t>
      </w:r>
      <w:r>
        <w:rPr>
          <w:rFonts w:eastAsia="国标黑体"/>
          <w:bCs/>
          <w:color w:val="000000" w:themeColor="text1"/>
          <w:kern w:val="44"/>
          <w:lang w:val="en"/>
        </w:rPr>
        <w:t xml:space="preserve"> </w:t>
      </w:r>
      <w:r>
        <w:rPr>
          <w:color w:val="000000" w:themeColor="text1"/>
          <w:spacing w:val="2"/>
        </w:rPr>
        <w:t>为规范和加强市级财政科技计划专项资金管理，提高资金使用绩效，根据《中华人民共和国预算法》及其实施条例、《中共四川省委办公厅</w:t>
      </w:r>
      <w:r>
        <w:rPr>
          <w:color w:val="000000" w:themeColor="text1"/>
          <w:spacing w:val="2"/>
        </w:rPr>
        <w:t xml:space="preserve"> </w:t>
      </w:r>
      <w:r>
        <w:rPr>
          <w:color w:val="000000" w:themeColor="text1"/>
          <w:spacing w:val="2"/>
        </w:rPr>
        <w:t>四川省人民政府办公厅关于深入实施预算绩效管理的通知》（</w:t>
      </w:r>
      <w:proofErr w:type="gramStart"/>
      <w:r>
        <w:rPr>
          <w:color w:val="000000" w:themeColor="text1"/>
          <w:spacing w:val="2"/>
        </w:rPr>
        <w:t>川委厅</w:t>
      </w:r>
      <w:proofErr w:type="gramEnd"/>
      <w:r>
        <w:rPr>
          <w:color w:val="000000" w:themeColor="text1"/>
          <w:spacing w:val="2"/>
        </w:rPr>
        <w:t>〔</w:t>
      </w:r>
      <w:r>
        <w:rPr>
          <w:color w:val="000000" w:themeColor="text1"/>
          <w:spacing w:val="2"/>
        </w:rPr>
        <w:t>2022</w:t>
      </w:r>
      <w:r>
        <w:rPr>
          <w:color w:val="000000" w:themeColor="text1"/>
          <w:spacing w:val="2"/>
        </w:rPr>
        <w:t>〕</w:t>
      </w:r>
      <w:r>
        <w:rPr>
          <w:color w:val="000000" w:themeColor="text1"/>
          <w:spacing w:val="2"/>
        </w:rPr>
        <w:t>5</w:t>
      </w:r>
      <w:r>
        <w:rPr>
          <w:color w:val="000000" w:themeColor="text1"/>
          <w:spacing w:val="2"/>
        </w:rPr>
        <w:t>号）、《四川省人民政府办公厅关于印发〈促进全社会加大研发投入工作方案〉的通知》（川办发〔</w:t>
      </w:r>
      <w:r>
        <w:rPr>
          <w:color w:val="000000" w:themeColor="text1"/>
          <w:spacing w:val="2"/>
        </w:rPr>
        <w:t>2025</w:t>
      </w:r>
      <w:r>
        <w:rPr>
          <w:color w:val="000000" w:themeColor="text1"/>
          <w:spacing w:val="2"/>
        </w:rPr>
        <w:t>〕</w:t>
      </w:r>
      <w:r>
        <w:rPr>
          <w:color w:val="000000" w:themeColor="text1"/>
          <w:spacing w:val="2"/>
        </w:rPr>
        <w:t>44</w:t>
      </w:r>
      <w:r>
        <w:rPr>
          <w:color w:val="000000" w:themeColor="text1"/>
          <w:spacing w:val="2"/>
        </w:rPr>
        <w:t>号）、《四川省财政厅</w:t>
      </w:r>
      <w:r>
        <w:rPr>
          <w:color w:val="000000" w:themeColor="text1"/>
          <w:spacing w:val="2"/>
        </w:rPr>
        <w:t xml:space="preserve"> </w:t>
      </w:r>
      <w:r>
        <w:rPr>
          <w:color w:val="000000" w:themeColor="text1"/>
          <w:spacing w:val="2"/>
        </w:rPr>
        <w:t>四川省科学技术厅印发〈关于改革完善省级财政科研经费管理的实施意见〉的通知》（川财</w:t>
      </w:r>
      <w:proofErr w:type="gramStart"/>
      <w:r>
        <w:rPr>
          <w:color w:val="000000" w:themeColor="text1"/>
          <w:spacing w:val="2"/>
        </w:rPr>
        <w:t>规</w:t>
      </w:r>
      <w:proofErr w:type="gramEnd"/>
      <w:r>
        <w:rPr>
          <w:color w:val="000000" w:themeColor="text1"/>
          <w:spacing w:val="2"/>
        </w:rPr>
        <w:t>〔</w:t>
      </w:r>
      <w:r>
        <w:rPr>
          <w:color w:val="000000" w:themeColor="text1"/>
          <w:spacing w:val="2"/>
        </w:rPr>
        <w:t>2022</w:t>
      </w:r>
      <w:r>
        <w:rPr>
          <w:color w:val="000000" w:themeColor="text1"/>
          <w:spacing w:val="2"/>
        </w:rPr>
        <w:t>〕</w:t>
      </w:r>
      <w:r>
        <w:rPr>
          <w:color w:val="000000" w:themeColor="text1"/>
          <w:spacing w:val="2"/>
        </w:rPr>
        <w:t>10</w:t>
      </w:r>
      <w:r>
        <w:rPr>
          <w:color w:val="000000" w:themeColor="text1"/>
          <w:spacing w:val="2"/>
        </w:rPr>
        <w:t>号）、《四川省财政厅</w:t>
      </w:r>
      <w:r>
        <w:rPr>
          <w:color w:val="000000" w:themeColor="text1"/>
          <w:spacing w:val="2"/>
        </w:rPr>
        <w:t xml:space="preserve"> </w:t>
      </w:r>
      <w:r>
        <w:rPr>
          <w:color w:val="000000" w:themeColor="text1"/>
          <w:spacing w:val="2"/>
        </w:rPr>
        <w:t>四川省科学技术厅关于印发〈省级财政科技计划专项资金管理办法〉的通知》（川财</w:t>
      </w:r>
      <w:proofErr w:type="gramStart"/>
      <w:r>
        <w:rPr>
          <w:color w:val="000000" w:themeColor="text1"/>
          <w:spacing w:val="2"/>
        </w:rPr>
        <w:t>规</w:t>
      </w:r>
      <w:proofErr w:type="gramEnd"/>
      <w:r>
        <w:rPr>
          <w:color w:val="000000" w:themeColor="text1"/>
          <w:spacing w:val="2"/>
        </w:rPr>
        <w:t>〔</w:t>
      </w:r>
      <w:r>
        <w:rPr>
          <w:color w:val="000000" w:themeColor="text1"/>
          <w:spacing w:val="2"/>
        </w:rPr>
        <w:t>2025</w:t>
      </w:r>
      <w:r>
        <w:rPr>
          <w:color w:val="000000" w:themeColor="text1"/>
          <w:spacing w:val="2"/>
        </w:rPr>
        <w:t>〕</w:t>
      </w:r>
      <w:r>
        <w:rPr>
          <w:color w:val="000000" w:themeColor="text1"/>
          <w:spacing w:val="2"/>
        </w:rPr>
        <w:t>10</w:t>
      </w:r>
      <w:r>
        <w:rPr>
          <w:color w:val="000000" w:themeColor="text1"/>
          <w:spacing w:val="2"/>
        </w:rPr>
        <w:t>号）、《绵阳市人民政府印发〈关于进一步支持科技创新十条政策（修订）〉的通知》（</w:t>
      </w:r>
      <w:proofErr w:type="gramStart"/>
      <w:r>
        <w:rPr>
          <w:color w:val="000000" w:themeColor="text1"/>
          <w:spacing w:val="2"/>
        </w:rPr>
        <w:t>绵</w:t>
      </w:r>
      <w:proofErr w:type="gramEnd"/>
      <w:r>
        <w:rPr>
          <w:color w:val="000000" w:themeColor="text1"/>
          <w:spacing w:val="2"/>
        </w:rPr>
        <w:t>府</w:t>
      </w:r>
      <w:proofErr w:type="gramStart"/>
      <w:r>
        <w:rPr>
          <w:color w:val="000000" w:themeColor="text1"/>
          <w:spacing w:val="2"/>
        </w:rPr>
        <w:t>规</w:t>
      </w:r>
      <w:proofErr w:type="gramEnd"/>
      <w:r>
        <w:rPr>
          <w:color w:val="000000" w:themeColor="text1"/>
          <w:spacing w:val="2"/>
        </w:rPr>
        <w:t>〔</w:t>
      </w:r>
      <w:r>
        <w:rPr>
          <w:color w:val="000000" w:themeColor="text1"/>
          <w:spacing w:val="2"/>
        </w:rPr>
        <w:t>2025</w:t>
      </w:r>
      <w:r>
        <w:rPr>
          <w:color w:val="000000" w:themeColor="text1"/>
          <w:spacing w:val="2"/>
        </w:rPr>
        <w:t>〕</w:t>
      </w:r>
      <w:r>
        <w:rPr>
          <w:color w:val="000000" w:themeColor="text1"/>
          <w:spacing w:val="2"/>
        </w:rPr>
        <w:t>3</w:t>
      </w:r>
      <w:r>
        <w:rPr>
          <w:color w:val="000000" w:themeColor="text1"/>
          <w:spacing w:val="2"/>
        </w:rPr>
        <w:t>号）等有关规定，结合科技计划管理工作实际，制定本办法。</w:t>
      </w:r>
      <w:r>
        <w:rPr>
          <w:noProof/>
          <w:color w:val="000000" w:themeColor="text1"/>
          <w:spacing w:val="2"/>
        </w:rPr>
        <w:drawing>
          <wp:anchor distT="0" distB="0" distL="114300" distR="114300" simplePos="0" relativeHeight="251659264" behindDoc="1" locked="0" layoutInCell="1" allowOverlap="1" wp14:anchorId="06D6F6C8" wp14:editId="7FC5FEF7">
            <wp:simplePos x="0" y="0"/>
            <wp:positionH relativeFrom="page">
              <wp:posOffset>1905000</wp:posOffset>
            </wp:positionH>
            <wp:positionV relativeFrom="paragraph">
              <wp:posOffset>63500</wp:posOffset>
            </wp:positionV>
            <wp:extent cx="1104900" cy="1295400"/>
            <wp:effectExtent l="0" t="0" r="0" b="0"/>
            <wp:wrapNone/>
            <wp:docPr id="1"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8"/>
                    <pic:cNvPicPr>
                      <a:picLocks noChangeAspect="1"/>
                    </pic:cNvPicPr>
                  </pic:nvPicPr>
                  <pic:blipFill>
                    <a:blip r:embed="rId6"/>
                    <a:stretch>
                      <a:fillRect/>
                    </a:stretch>
                  </pic:blipFill>
                  <pic:spPr>
                    <a:xfrm>
                      <a:off x="0" y="0"/>
                      <a:ext cx="1104900" cy="1295400"/>
                    </a:xfrm>
                    <a:prstGeom prst="rect">
                      <a:avLst/>
                    </a:prstGeom>
                    <a:noFill/>
                    <a:ln>
                      <a:noFill/>
                    </a:ln>
                  </pic:spPr>
                </pic:pic>
              </a:graphicData>
            </a:graphic>
          </wp:anchor>
        </w:drawing>
      </w:r>
    </w:p>
    <w:p w14:paraId="7EC22F87"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第二条</w:t>
      </w:r>
      <w:r>
        <w:rPr>
          <w:rFonts w:eastAsia="国标黑体"/>
          <w:bCs/>
          <w:color w:val="000000" w:themeColor="text1"/>
          <w:kern w:val="44"/>
          <w:lang w:val="en"/>
        </w:rPr>
        <w:t xml:space="preserve"> </w:t>
      </w:r>
      <w:r>
        <w:rPr>
          <w:color w:val="000000" w:themeColor="text1"/>
          <w:spacing w:val="2"/>
        </w:rPr>
        <w:t>本办法所称市级财政科技计划专项资金（以下简称</w:t>
      </w:r>
      <w:r>
        <w:rPr>
          <w:color w:val="000000" w:themeColor="text1"/>
          <w:spacing w:val="2"/>
        </w:rPr>
        <w:t>“</w:t>
      </w:r>
      <w:r>
        <w:rPr>
          <w:color w:val="000000" w:themeColor="text1"/>
          <w:spacing w:val="2"/>
        </w:rPr>
        <w:t>专项资金</w:t>
      </w:r>
      <w:r>
        <w:rPr>
          <w:color w:val="000000" w:themeColor="text1"/>
          <w:spacing w:val="2"/>
        </w:rPr>
        <w:t>”</w:t>
      </w:r>
      <w:r>
        <w:rPr>
          <w:color w:val="000000" w:themeColor="text1"/>
          <w:spacing w:val="2"/>
        </w:rPr>
        <w:t>）是指市级财政预算安排，专项用于支持基础研究、技术攻关、成果转移转化、科技创新平台建设和</w:t>
      </w:r>
      <w:proofErr w:type="gramStart"/>
      <w:r>
        <w:rPr>
          <w:color w:val="000000" w:themeColor="text1"/>
          <w:spacing w:val="2"/>
        </w:rPr>
        <w:t>人才引育等</w:t>
      </w:r>
      <w:proofErr w:type="gramEnd"/>
      <w:r>
        <w:rPr>
          <w:color w:val="000000" w:themeColor="text1"/>
          <w:spacing w:val="2"/>
        </w:rPr>
        <w:t>各类科技创新活动的资金。</w:t>
      </w:r>
    </w:p>
    <w:p w14:paraId="7AA6379D"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第三条</w:t>
      </w:r>
      <w:r>
        <w:rPr>
          <w:rFonts w:eastAsia="国标黑体"/>
          <w:bCs/>
          <w:color w:val="000000" w:themeColor="text1"/>
          <w:kern w:val="44"/>
        </w:rPr>
        <w:t xml:space="preserve"> </w:t>
      </w:r>
      <w:r>
        <w:rPr>
          <w:color w:val="000000" w:themeColor="text1"/>
          <w:spacing w:val="2"/>
        </w:rPr>
        <w:t>专项资金由</w:t>
      </w:r>
      <w:r>
        <w:rPr>
          <w:rFonts w:hint="eastAsia"/>
          <w:color w:val="000000" w:themeColor="text1"/>
          <w:spacing w:val="2"/>
        </w:rPr>
        <w:t>科技</w:t>
      </w:r>
      <w:r>
        <w:rPr>
          <w:color w:val="000000" w:themeColor="text1"/>
          <w:spacing w:val="2"/>
        </w:rPr>
        <w:t>局和</w:t>
      </w:r>
      <w:r>
        <w:rPr>
          <w:rFonts w:hint="eastAsia"/>
          <w:color w:val="000000" w:themeColor="text1"/>
          <w:spacing w:val="2"/>
        </w:rPr>
        <w:t>财政</w:t>
      </w:r>
      <w:r>
        <w:rPr>
          <w:color w:val="000000" w:themeColor="text1"/>
          <w:spacing w:val="2"/>
        </w:rPr>
        <w:t>局共同管理。</w:t>
      </w:r>
    </w:p>
    <w:p w14:paraId="55B07FB0" w14:textId="77777777" w:rsidR="005F1C1D" w:rsidRDefault="00000000">
      <w:pPr>
        <w:wordWrap w:val="0"/>
        <w:spacing w:line="576" w:lineRule="exact"/>
        <w:ind w:right="20" w:firstLine="620"/>
        <w:textAlignment w:val="baseline"/>
        <w:rPr>
          <w:color w:val="000000" w:themeColor="text1"/>
          <w:spacing w:val="2"/>
        </w:rPr>
      </w:pPr>
      <w:r>
        <w:rPr>
          <w:rFonts w:ascii="仿宋_GB2312" w:hAnsi="仿宋_GB2312" w:cs="仿宋_GB2312" w:hint="eastAsia"/>
          <w:color w:val="000000" w:themeColor="text1"/>
          <w:spacing w:val="2"/>
        </w:rPr>
        <w:t>市科技局、市财政局、各县（市、区）及园区科技行政主</w:t>
      </w:r>
      <w:r>
        <w:rPr>
          <w:rFonts w:ascii="仿宋_GB2312" w:hAnsi="仿宋_GB2312" w:cs="仿宋_GB2312" w:hint="eastAsia"/>
          <w:color w:val="000000" w:themeColor="text1"/>
          <w:spacing w:val="2"/>
        </w:rPr>
        <w:lastRenderedPageBreak/>
        <w:t>管部门、各县（市、区）及园区财政部门、</w:t>
      </w:r>
      <w:r>
        <w:rPr>
          <w:color w:val="000000" w:themeColor="text1"/>
          <w:spacing w:val="2"/>
        </w:rPr>
        <w:t>资金使用单位按照</w:t>
      </w:r>
      <w:r>
        <w:rPr>
          <w:color w:val="000000" w:themeColor="text1"/>
          <w:spacing w:val="2"/>
        </w:rPr>
        <w:t>“</w:t>
      </w:r>
      <w:r>
        <w:rPr>
          <w:color w:val="000000" w:themeColor="text1"/>
          <w:spacing w:val="2"/>
        </w:rPr>
        <w:t>管资金必须管绩效和监督、管项目必须管绩效和监督、管政策必须管绩效和监督</w:t>
      </w:r>
      <w:r>
        <w:rPr>
          <w:color w:val="000000" w:themeColor="text1"/>
          <w:spacing w:val="2"/>
        </w:rPr>
        <w:t>”</w:t>
      </w:r>
      <w:r>
        <w:rPr>
          <w:color w:val="000000" w:themeColor="text1"/>
          <w:spacing w:val="2"/>
        </w:rPr>
        <w:t>等要求，分工做好专项资金管理。</w:t>
      </w:r>
    </w:p>
    <w:p w14:paraId="6F1F744D" w14:textId="77777777" w:rsidR="005F1C1D" w:rsidRDefault="00000000">
      <w:pPr>
        <w:wordWrap w:val="0"/>
        <w:spacing w:line="576" w:lineRule="exact"/>
        <w:ind w:right="20" w:firstLine="620"/>
        <w:textAlignment w:val="baseline"/>
        <w:rPr>
          <w:rFonts w:ascii="仿宋_GB2312" w:hAnsi="仿宋_GB2312" w:cs="仿宋_GB2312" w:hint="eastAsia"/>
          <w:color w:val="000000" w:themeColor="text1"/>
          <w:spacing w:val="2"/>
        </w:rPr>
      </w:pPr>
      <w:r>
        <w:rPr>
          <w:rFonts w:ascii="仿宋_GB2312" w:hAnsi="仿宋_GB2312" w:cs="仿宋_GB2312" w:hint="eastAsia"/>
          <w:color w:val="000000" w:themeColor="text1"/>
          <w:spacing w:val="2"/>
        </w:rPr>
        <w:t>市科技局负责牵头组织项目申报和政策兑现，收集审核基础数据，建立科技专家库，拟订专项资金分配建议方案和政策兑现实施细则，会同市财政局按程序报批。督促指导本级资金使用单位和各县（市、区）、园区科技行政主管部门做好项目实施、资金预算执行、绩效管理和财会监督等。</w:t>
      </w:r>
    </w:p>
    <w:p w14:paraId="24BDA75C" w14:textId="77777777" w:rsidR="005F1C1D" w:rsidRDefault="00000000">
      <w:pPr>
        <w:wordWrap w:val="0"/>
        <w:spacing w:line="576" w:lineRule="exact"/>
        <w:ind w:right="20" w:firstLine="620"/>
        <w:textAlignment w:val="baseline"/>
        <w:rPr>
          <w:rFonts w:ascii="仿宋_GB2312" w:hAnsi="仿宋_GB2312" w:cs="仿宋_GB2312" w:hint="eastAsia"/>
          <w:color w:val="000000" w:themeColor="text1"/>
          <w:spacing w:val="2"/>
        </w:rPr>
      </w:pPr>
      <w:r>
        <w:rPr>
          <w:rFonts w:ascii="仿宋_GB2312" w:hAnsi="仿宋_GB2312" w:cs="仿宋_GB2312" w:hint="eastAsia"/>
          <w:color w:val="000000" w:themeColor="text1"/>
          <w:spacing w:val="2"/>
        </w:rPr>
        <w:t>市财政局负责专项资金预算编制，</w:t>
      </w:r>
      <w:proofErr w:type="gramStart"/>
      <w:r>
        <w:rPr>
          <w:rFonts w:ascii="仿宋_GB2312" w:hAnsi="仿宋_GB2312" w:cs="仿宋_GB2312" w:hint="eastAsia"/>
          <w:color w:val="000000" w:themeColor="text1"/>
          <w:spacing w:val="2"/>
        </w:rPr>
        <w:t>审核市</w:t>
      </w:r>
      <w:proofErr w:type="gramEnd"/>
      <w:r>
        <w:rPr>
          <w:rFonts w:ascii="仿宋_GB2312" w:hAnsi="仿宋_GB2312" w:cs="仿宋_GB2312" w:hint="eastAsia"/>
          <w:color w:val="000000" w:themeColor="text1"/>
          <w:spacing w:val="2"/>
        </w:rPr>
        <w:t>科技局拟定提出的资金分配建议方案是否符合市委市政府决策部署，是否符合专项资金管理办法规定；办理资金预算下达，组织实施绩效管理和财会监督等。</w:t>
      </w:r>
    </w:p>
    <w:p w14:paraId="1ACA31CA" w14:textId="77777777" w:rsidR="005F1C1D" w:rsidRDefault="00000000">
      <w:pPr>
        <w:wordWrap w:val="0"/>
        <w:spacing w:line="576" w:lineRule="exact"/>
        <w:ind w:right="20" w:firstLine="620"/>
        <w:textAlignment w:val="baseline"/>
        <w:rPr>
          <w:rFonts w:ascii="仿宋_GB2312" w:hAnsi="仿宋_GB2312" w:cs="仿宋_GB2312" w:hint="eastAsia"/>
          <w:color w:val="000000" w:themeColor="text1"/>
          <w:spacing w:val="2"/>
        </w:rPr>
      </w:pPr>
      <w:r>
        <w:rPr>
          <w:rFonts w:ascii="仿宋_GB2312" w:hAnsi="仿宋_GB2312" w:cs="仿宋_GB2312" w:hint="eastAsia"/>
          <w:color w:val="000000" w:themeColor="text1"/>
          <w:spacing w:val="2"/>
        </w:rPr>
        <w:t>各县（市、区）及园区科技行政主管部门是专项资金预算执行的责任主体，负责县（市、区）园区项目储备、筛选、申报、监管和验收，指导资金使用单位管好用好资金、规范项目实施，具体实施本地区专项资金绩效管理和财会监督等。</w:t>
      </w:r>
    </w:p>
    <w:p w14:paraId="59E4E327" w14:textId="77777777" w:rsidR="005F1C1D" w:rsidRDefault="00000000">
      <w:pPr>
        <w:wordWrap w:val="0"/>
        <w:spacing w:line="576" w:lineRule="exact"/>
        <w:ind w:right="20" w:firstLine="620"/>
        <w:textAlignment w:val="baseline"/>
        <w:rPr>
          <w:rFonts w:ascii="仿宋_GB2312" w:hAnsi="仿宋_GB2312" w:cs="仿宋_GB2312" w:hint="eastAsia"/>
          <w:color w:val="000000" w:themeColor="text1"/>
          <w:spacing w:val="2"/>
        </w:rPr>
      </w:pPr>
      <w:r>
        <w:rPr>
          <w:rFonts w:ascii="仿宋_GB2312" w:hAnsi="仿宋_GB2312" w:cs="仿宋_GB2312" w:hint="eastAsia"/>
          <w:color w:val="000000" w:themeColor="text1"/>
          <w:spacing w:val="2"/>
        </w:rPr>
        <w:t>各县（市、区）及园区财政部门负责专项资金分配下达，配合同级科技行政主管部门做好项目申报，牵头组织本地区专项资金绩效管理和财会监督等。</w:t>
      </w:r>
    </w:p>
    <w:p w14:paraId="3CEB4807"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资金使用单位具体承担项目实施和资金使用的直接责任，负责如实申报项目，具体组织项目实施，严格执行资金预算，做好项目财务管理，实施绩效管理，主动接受监督等。</w:t>
      </w:r>
    </w:p>
    <w:p w14:paraId="29370DDC"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lastRenderedPageBreak/>
        <w:t>第四条</w:t>
      </w:r>
      <w:r>
        <w:rPr>
          <w:rFonts w:eastAsia="国标黑体"/>
          <w:bCs/>
          <w:color w:val="000000" w:themeColor="text1"/>
          <w:kern w:val="44"/>
        </w:rPr>
        <w:t xml:space="preserve"> </w:t>
      </w:r>
      <w:r>
        <w:rPr>
          <w:color w:val="000000" w:themeColor="text1"/>
          <w:spacing w:val="2"/>
        </w:rPr>
        <w:t>专项资金按照</w:t>
      </w:r>
      <w:r>
        <w:rPr>
          <w:color w:val="000000" w:themeColor="text1"/>
          <w:spacing w:val="2"/>
        </w:rPr>
        <w:t>“</w:t>
      </w:r>
      <w:r>
        <w:rPr>
          <w:color w:val="000000" w:themeColor="text1"/>
          <w:spacing w:val="2"/>
        </w:rPr>
        <w:t>集中财力、突出重点，分类支持、合理配置，权责对等、强化内控，遵循规律、注重绩效</w:t>
      </w:r>
      <w:r>
        <w:rPr>
          <w:color w:val="000000" w:themeColor="text1"/>
          <w:spacing w:val="2"/>
        </w:rPr>
        <w:t>”</w:t>
      </w:r>
      <w:r>
        <w:rPr>
          <w:color w:val="000000" w:themeColor="text1"/>
          <w:spacing w:val="2"/>
        </w:rPr>
        <w:t>的原则进行管理和使用。</w:t>
      </w:r>
    </w:p>
    <w:p w14:paraId="401B782E" w14:textId="77777777" w:rsidR="005F1C1D" w:rsidRDefault="005F1C1D">
      <w:pPr>
        <w:pStyle w:val="20"/>
        <w:rPr>
          <w:rFonts w:ascii="Times New Roman" w:hAnsi="Times New Roman"/>
        </w:rPr>
      </w:pPr>
    </w:p>
    <w:p w14:paraId="78DE4C95" w14:textId="77777777" w:rsidR="005F1C1D" w:rsidRDefault="00000000">
      <w:pPr>
        <w:wordWrap w:val="0"/>
        <w:spacing w:line="576" w:lineRule="exact"/>
        <w:ind w:right="20"/>
        <w:jc w:val="center"/>
        <w:textAlignment w:val="baseline"/>
        <w:rPr>
          <w:rFonts w:eastAsia="黑体"/>
          <w:color w:val="000000" w:themeColor="text1"/>
          <w:spacing w:val="2"/>
        </w:rPr>
      </w:pPr>
      <w:r>
        <w:rPr>
          <w:rFonts w:eastAsia="黑体"/>
          <w:color w:val="000000" w:themeColor="text1"/>
          <w:spacing w:val="2"/>
        </w:rPr>
        <w:t>第二章</w:t>
      </w:r>
      <w:r>
        <w:rPr>
          <w:rFonts w:eastAsia="黑体"/>
          <w:color w:val="000000" w:themeColor="text1"/>
          <w:spacing w:val="2"/>
        </w:rPr>
        <w:t xml:space="preserve">  </w:t>
      </w:r>
      <w:r>
        <w:rPr>
          <w:rFonts w:eastAsia="黑体"/>
          <w:color w:val="000000" w:themeColor="text1"/>
          <w:spacing w:val="2"/>
        </w:rPr>
        <w:t>使用范围</w:t>
      </w:r>
    </w:p>
    <w:p w14:paraId="032CE219"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第五条</w:t>
      </w:r>
      <w:r>
        <w:rPr>
          <w:rFonts w:eastAsia="国标黑体"/>
          <w:bCs/>
          <w:color w:val="000000" w:themeColor="text1"/>
          <w:kern w:val="44"/>
        </w:rPr>
        <w:t xml:space="preserve"> </w:t>
      </w:r>
      <w:r>
        <w:rPr>
          <w:color w:val="000000" w:themeColor="text1"/>
          <w:spacing w:val="2"/>
        </w:rPr>
        <w:t>专项资金聚焦市委市政府关于科技创新的决策部署，为发挥中国科技城优势加快建成省域经济副中心，一体推进科技创新和科技成果转化，推动科技创新与产业创新深度融合发展，重点用于以下五个方面。</w:t>
      </w:r>
    </w:p>
    <w:p w14:paraId="6BEA9732"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（一）加强基础研究。通过竞争性支持和稳定支持相结合的方式，支持自由探索类、目标导向类基础研究和开展科学前沿探索、创新理论和方法等。</w:t>
      </w:r>
    </w:p>
    <w:p w14:paraId="21B74943"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二）强化技术攻关。支持聚焦省、市重大战略产品和重大产业化目标，集中优势力量在设定时限内进行重大集成式协同攻关。加强传统产业、新兴产业、未来产业等产业技术攻关。支持能源资源、生态环境、住建交通、水利林草、农业农村、生命健康、应急安全、文化遗产等领域技术攻关。</w:t>
      </w:r>
    </w:p>
    <w:p w14:paraId="0F824FB5"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三）加快成果转移转化。支持引导开展概念验证、中试熟化、成果示范推广等转移转化活动，支持开展技术转移、资源共享、企业孵化等技术服务。支持创新主体培育和区域创新体系建设。支持科技金融和科技服务业发展。</w:t>
      </w:r>
    </w:p>
    <w:p w14:paraId="1538875B"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（四）支持科技创新平台建设和人才引育。支持科技创新</w:t>
      </w:r>
      <w:r>
        <w:rPr>
          <w:color w:val="000000" w:themeColor="text1"/>
          <w:spacing w:val="2"/>
        </w:rPr>
        <w:lastRenderedPageBreak/>
        <w:t>平台、科技园区等能力提升，支持市级科研院所改革发展。</w:t>
      </w:r>
      <w:proofErr w:type="gramStart"/>
      <w:r>
        <w:rPr>
          <w:color w:val="000000" w:themeColor="text1"/>
          <w:spacing w:val="2"/>
        </w:rPr>
        <w:t>支持引育国内外</w:t>
      </w:r>
      <w:proofErr w:type="gramEnd"/>
      <w:r>
        <w:rPr>
          <w:color w:val="000000" w:themeColor="text1"/>
          <w:spacing w:val="2"/>
        </w:rPr>
        <w:t>科技创新创业人才和创新团队。支持开展科技创新合作交流。支持高端学术交流、科技成果对接、科学传播推广、应用场景培育等活动开展。支持科学技术普及。</w:t>
      </w:r>
    </w:p>
    <w:p w14:paraId="34AD752B"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（五）市委、市政府确定的其他科技工作。</w:t>
      </w:r>
    </w:p>
    <w:p w14:paraId="7D74B48E"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第六条</w:t>
      </w:r>
      <w:r>
        <w:rPr>
          <w:rFonts w:eastAsia="国标黑体"/>
          <w:bCs/>
          <w:color w:val="000000" w:themeColor="text1"/>
          <w:kern w:val="44"/>
        </w:rPr>
        <w:t xml:space="preserve"> </w:t>
      </w:r>
      <w:r>
        <w:rPr>
          <w:color w:val="000000" w:themeColor="text1"/>
          <w:spacing w:val="2"/>
        </w:rPr>
        <w:t>专项资金不得用于与本项目任务无关的支出，包括各种罚款、捐款、赞助、投资、偿还债务等，不得列支应当由个人负担的有关费用，以及国家规定禁止列支的其他支出。</w:t>
      </w:r>
    </w:p>
    <w:p w14:paraId="013FA5CC" w14:textId="77777777" w:rsidR="005F1C1D" w:rsidRDefault="005F1C1D">
      <w:pPr>
        <w:wordWrap w:val="0"/>
        <w:spacing w:line="576" w:lineRule="exact"/>
        <w:ind w:right="20"/>
        <w:jc w:val="center"/>
        <w:textAlignment w:val="baseline"/>
        <w:rPr>
          <w:rFonts w:eastAsia="黑体"/>
          <w:color w:val="000000" w:themeColor="text1"/>
          <w:spacing w:val="2"/>
        </w:rPr>
      </w:pPr>
    </w:p>
    <w:p w14:paraId="01C8407B" w14:textId="77777777" w:rsidR="005F1C1D" w:rsidRDefault="00000000">
      <w:pPr>
        <w:wordWrap w:val="0"/>
        <w:spacing w:line="576" w:lineRule="exact"/>
        <w:ind w:right="20"/>
        <w:jc w:val="center"/>
        <w:textAlignment w:val="baseline"/>
        <w:rPr>
          <w:rFonts w:eastAsia="黑体"/>
          <w:color w:val="000000" w:themeColor="text1"/>
          <w:spacing w:val="2"/>
        </w:rPr>
      </w:pPr>
      <w:r>
        <w:rPr>
          <w:rFonts w:eastAsia="黑体"/>
          <w:color w:val="000000" w:themeColor="text1"/>
          <w:spacing w:val="2"/>
        </w:rPr>
        <w:t>第三章</w:t>
      </w:r>
      <w:r>
        <w:rPr>
          <w:rFonts w:eastAsia="黑体"/>
          <w:color w:val="000000" w:themeColor="text1"/>
          <w:spacing w:val="2"/>
        </w:rPr>
        <w:t xml:space="preserve">  </w:t>
      </w:r>
      <w:r>
        <w:rPr>
          <w:rFonts w:eastAsia="黑体"/>
          <w:color w:val="000000" w:themeColor="text1"/>
          <w:spacing w:val="2"/>
        </w:rPr>
        <w:t>分配下达</w:t>
      </w:r>
    </w:p>
    <w:p w14:paraId="7A5E5917"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第七条</w:t>
      </w:r>
      <w:r>
        <w:rPr>
          <w:rFonts w:eastAsia="国标黑体"/>
          <w:bCs/>
          <w:color w:val="000000" w:themeColor="text1"/>
          <w:kern w:val="44"/>
        </w:rPr>
        <w:t xml:space="preserve"> </w:t>
      </w:r>
      <w:r>
        <w:rPr>
          <w:color w:val="000000" w:themeColor="text1"/>
          <w:spacing w:val="2"/>
        </w:rPr>
        <w:t>专项资金采取项目法、据实法、因素法进行分配管理。</w:t>
      </w:r>
    </w:p>
    <w:p w14:paraId="108CCBB8"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一）项目法。适用于服务全市经济社会发展的科技创新需求，由市科技局牵头组织项目申报和评审，提出资金分配建议方案，会同市财政局按规定程序报批。其中，各县（市、区）、园区推荐的项目由科技行政主管部门会同财政部门形成推荐意见后上报。对于市委、市政府确定实施的事项，市科技局会同市财政局提出资金分配建议方案，按规定程序报批。</w:t>
      </w:r>
    </w:p>
    <w:p w14:paraId="046FFC7B" w14:textId="77777777" w:rsidR="005F1C1D" w:rsidRDefault="00000000">
      <w:pPr>
        <w:wordWrap w:val="0"/>
        <w:spacing w:line="576" w:lineRule="exact"/>
        <w:ind w:right="20" w:firstLine="620"/>
        <w:textAlignment w:val="baseline"/>
        <w:rPr>
          <w:rFonts w:eastAsia="国标黑体"/>
          <w:bCs/>
          <w:color w:val="000000" w:themeColor="text1"/>
          <w:kern w:val="44"/>
        </w:rPr>
      </w:pPr>
      <w:r>
        <w:rPr>
          <w:color w:val="000000" w:themeColor="text1"/>
          <w:spacing w:val="2"/>
        </w:rPr>
        <w:t>（二）据实法。适用于政策兑现、激励引导等事项，由市科技局商市财政局按照有关政策规定确定的补助范围、补助标准等，提出资金分配建议方案，会同市财政局按规定程序报批。</w:t>
      </w:r>
    </w:p>
    <w:p w14:paraId="5735BBB8" w14:textId="77777777" w:rsidR="005F1C1D" w:rsidRDefault="00000000">
      <w:pPr>
        <w:ind w:firstLineChars="200" w:firstLine="640"/>
        <w:rPr>
          <w:color w:val="000000" w:themeColor="text1"/>
        </w:rPr>
      </w:pPr>
      <w:r>
        <w:rPr>
          <w:color w:val="000000" w:themeColor="text1"/>
        </w:rPr>
        <w:t>（三）因素法。</w:t>
      </w:r>
      <w:r>
        <w:rPr>
          <w:lang w:bidi="ar"/>
        </w:rPr>
        <w:t>支持各地培育高新技术企业奖励资金按因素</w:t>
      </w:r>
      <w:r>
        <w:rPr>
          <w:lang w:bidi="ar"/>
        </w:rPr>
        <w:lastRenderedPageBreak/>
        <w:t>法分配。因素包括：以目标任务完成情况、有效高企总量、增量、增速、认定质量、储备情况、出台政策和实施情况、</w:t>
      </w:r>
      <w:proofErr w:type="gramStart"/>
      <w:r>
        <w:rPr>
          <w:lang w:bidi="ar"/>
        </w:rPr>
        <w:t>取消高企资格</w:t>
      </w:r>
      <w:proofErr w:type="gramEnd"/>
      <w:r>
        <w:rPr>
          <w:lang w:bidi="ar"/>
        </w:rPr>
        <w:t>情况等指标作为</w:t>
      </w:r>
      <w:proofErr w:type="gramStart"/>
      <w:r>
        <w:rPr>
          <w:lang w:bidi="ar"/>
        </w:rPr>
        <w:t>奖补金额</w:t>
      </w:r>
      <w:proofErr w:type="gramEnd"/>
      <w:r>
        <w:rPr>
          <w:lang w:bidi="ar"/>
        </w:rPr>
        <w:t>评定依据。指标具体分值由申报指南确定。各县（市、区）、园区重点工作任务完成情况（目标任务，</w:t>
      </w:r>
      <w:r>
        <w:rPr>
          <w:lang w:bidi="ar"/>
        </w:rPr>
        <w:t>20%</w:t>
      </w:r>
      <w:r>
        <w:rPr>
          <w:lang w:bidi="ar"/>
        </w:rPr>
        <w:t>）；各县（市、区）、园区高企培育产出（总量、增量、增速，近郊区、园区</w:t>
      </w:r>
      <w:r>
        <w:rPr>
          <w:lang w:bidi="ar"/>
        </w:rPr>
        <w:t>20%</w:t>
      </w:r>
      <w:r>
        <w:rPr>
          <w:lang w:bidi="ar"/>
        </w:rPr>
        <w:t>，丘陵区、山区</w:t>
      </w:r>
      <w:r>
        <w:rPr>
          <w:lang w:bidi="ar"/>
        </w:rPr>
        <w:t>25%</w:t>
      </w:r>
      <w:r>
        <w:rPr>
          <w:lang w:bidi="ar"/>
        </w:rPr>
        <w:t>）；各县（市、区）、园区高企培育质量（高企培育库入库数量、复审参加率、认定通过率，近郊区、园区</w:t>
      </w:r>
      <w:r>
        <w:rPr>
          <w:lang w:bidi="ar"/>
        </w:rPr>
        <w:t>40%</w:t>
      </w:r>
      <w:r>
        <w:rPr>
          <w:lang w:bidi="ar"/>
        </w:rPr>
        <w:t>，丘陵区、山区</w:t>
      </w:r>
      <w:r>
        <w:rPr>
          <w:lang w:bidi="ar"/>
        </w:rPr>
        <w:t>35%</w:t>
      </w:r>
      <w:r>
        <w:rPr>
          <w:lang w:bidi="ar"/>
        </w:rPr>
        <w:t>）；各县（市、区）、园区高企培育政策支撑与效能（出台支持政策和实施情况及超额完成目标任务，</w:t>
      </w:r>
      <w:proofErr w:type="gramStart"/>
      <w:r>
        <w:rPr>
          <w:lang w:bidi="ar"/>
        </w:rPr>
        <w:t>最高占</w:t>
      </w:r>
      <w:proofErr w:type="gramEnd"/>
      <w:r>
        <w:rPr>
          <w:lang w:bidi="ar"/>
        </w:rPr>
        <w:t>比</w:t>
      </w:r>
      <w:r>
        <w:rPr>
          <w:lang w:bidi="ar"/>
        </w:rPr>
        <w:t>20%</w:t>
      </w:r>
      <w:r>
        <w:rPr>
          <w:lang w:bidi="ar"/>
        </w:rPr>
        <w:t>）；鼓励县（市、区）、园区制定并实施高新技术企业发展政策措施，根据高新技术企业培育情况，对县（市、区）、园区最高给予</w:t>
      </w:r>
      <w:r>
        <w:rPr>
          <w:lang w:bidi="ar"/>
        </w:rPr>
        <w:t>100</w:t>
      </w:r>
      <w:r>
        <w:rPr>
          <w:lang w:bidi="ar"/>
        </w:rPr>
        <w:t>万元资金奖励。按照各指标汇总得分，对第一名给予</w:t>
      </w:r>
      <w:r>
        <w:rPr>
          <w:lang w:bidi="ar"/>
        </w:rPr>
        <w:t>100</w:t>
      </w:r>
      <w:r>
        <w:rPr>
          <w:lang w:bidi="ar"/>
        </w:rPr>
        <w:t>万元资金奖励，对第二、第三名分别给予</w:t>
      </w:r>
      <w:r>
        <w:rPr>
          <w:lang w:bidi="ar"/>
        </w:rPr>
        <w:t>50</w:t>
      </w:r>
      <w:r>
        <w:rPr>
          <w:lang w:bidi="ar"/>
        </w:rPr>
        <w:t>万元资金奖励，对第四至第七名分别给予</w:t>
      </w:r>
      <w:r>
        <w:rPr>
          <w:lang w:bidi="ar"/>
        </w:rPr>
        <w:t>25</w:t>
      </w:r>
      <w:r>
        <w:rPr>
          <w:lang w:bidi="ar"/>
        </w:rPr>
        <w:t>万元资金奖励。市科技局提出资金分配建议方案，会同市财政局按规定程序报批。</w:t>
      </w:r>
    </w:p>
    <w:p w14:paraId="436F7529" w14:textId="77777777" w:rsidR="005F1C1D" w:rsidRDefault="00000000">
      <w:pPr>
        <w:wordWrap w:val="0"/>
        <w:spacing w:line="576" w:lineRule="exact"/>
        <w:ind w:right="20" w:firstLine="620"/>
        <w:textAlignment w:val="baseline"/>
        <w:rPr>
          <w:color w:val="000000" w:themeColor="text1"/>
        </w:rPr>
      </w:pPr>
      <w:r>
        <w:rPr>
          <w:rFonts w:eastAsia="国标黑体"/>
          <w:bCs/>
          <w:color w:val="000000" w:themeColor="text1"/>
          <w:kern w:val="44"/>
        </w:rPr>
        <w:t>第八条</w:t>
      </w:r>
      <w:r>
        <w:rPr>
          <w:rFonts w:eastAsia="国标黑体"/>
          <w:bCs/>
          <w:color w:val="000000" w:themeColor="text1"/>
          <w:kern w:val="44"/>
        </w:rPr>
        <w:t xml:space="preserve"> </w:t>
      </w:r>
      <w:r>
        <w:rPr>
          <w:color w:val="000000" w:themeColor="text1"/>
        </w:rPr>
        <w:t>市科技局常态</w:t>
      </w:r>
      <w:proofErr w:type="gramStart"/>
      <w:r>
        <w:rPr>
          <w:color w:val="000000" w:themeColor="text1"/>
        </w:rPr>
        <w:t>化开展</w:t>
      </w:r>
      <w:proofErr w:type="gramEnd"/>
      <w:r>
        <w:rPr>
          <w:color w:val="000000" w:themeColor="text1"/>
        </w:rPr>
        <w:t>项目征集，一般在</w:t>
      </w:r>
      <w:r>
        <w:rPr>
          <w:color w:val="000000" w:themeColor="text1"/>
          <w:spacing w:val="2"/>
        </w:rPr>
        <w:t>当年</w:t>
      </w:r>
      <w:r>
        <w:rPr>
          <w:color w:val="000000" w:themeColor="text1"/>
          <w:spacing w:val="2"/>
        </w:rPr>
        <w:t>11</w:t>
      </w:r>
      <w:r>
        <w:rPr>
          <w:color w:val="000000" w:themeColor="text1"/>
          <w:spacing w:val="2"/>
        </w:rPr>
        <w:t>月底</w:t>
      </w:r>
      <w:r>
        <w:rPr>
          <w:color w:val="000000" w:themeColor="text1"/>
        </w:rPr>
        <w:t>前梳理项目情况，发布项目申报通知，明确申报主体、申报材料要求、申报程序等事项；</w:t>
      </w:r>
      <w:r>
        <w:rPr>
          <w:color w:val="000000" w:themeColor="text1"/>
          <w:spacing w:val="2"/>
        </w:rPr>
        <w:t>同时将申报主体的研发投入情况等作为申报科技计划项目的前置条件。</w:t>
      </w:r>
    </w:p>
    <w:p w14:paraId="25EE6E47"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lastRenderedPageBreak/>
        <w:t>第九条</w:t>
      </w:r>
      <w:r>
        <w:rPr>
          <w:color w:val="000000" w:themeColor="text1"/>
          <w:spacing w:val="2"/>
        </w:rPr>
        <w:t xml:space="preserve"> </w:t>
      </w:r>
      <w:r>
        <w:rPr>
          <w:color w:val="000000" w:themeColor="text1"/>
          <w:spacing w:val="2"/>
        </w:rPr>
        <w:t>预算下达文件由市科技局会同市财政局按照《中共绵阳市委办公室</w:t>
      </w:r>
      <w:r>
        <w:rPr>
          <w:color w:val="000000" w:themeColor="text1"/>
          <w:spacing w:val="2"/>
        </w:rPr>
        <w:t xml:space="preserve"> </w:t>
      </w:r>
      <w:r>
        <w:rPr>
          <w:color w:val="000000" w:themeColor="text1"/>
          <w:spacing w:val="2"/>
        </w:rPr>
        <w:t>绵阳市人民政府办公室关于印发〈绵阳市市本级财政资金审批管理办法》（</w:t>
      </w:r>
      <w:proofErr w:type="gramStart"/>
      <w:r>
        <w:rPr>
          <w:color w:val="000000" w:themeColor="text1"/>
          <w:spacing w:val="2"/>
        </w:rPr>
        <w:t>绵</w:t>
      </w:r>
      <w:proofErr w:type="gramEnd"/>
      <w:r>
        <w:rPr>
          <w:color w:val="000000" w:themeColor="text1"/>
          <w:spacing w:val="2"/>
        </w:rPr>
        <w:t>委办发〔</w:t>
      </w:r>
      <w:r>
        <w:rPr>
          <w:color w:val="000000" w:themeColor="text1"/>
          <w:spacing w:val="2"/>
        </w:rPr>
        <w:t>2020</w:t>
      </w:r>
      <w:r>
        <w:rPr>
          <w:color w:val="000000" w:themeColor="text1"/>
          <w:spacing w:val="2"/>
        </w:rPr>
        <w:t>〕</w:t>
      </w:r>
      <w:r>
        <w:rPr>
          <w:color w:val="000000" w:themeColor="text1"/>
          <w:spacing w:val="2"/>
        </w:rPr>
        <w:t>11</w:t>
      </w:r>
      <w:r>
        <w:rPr>
          <w:color w:val="000000" w:themeColor="text1"/>
          <w:spacing w:val="2"/>
        </w:rPr>
        <w:t>号）的有关程序报批后下达印发。</w:t>
      </w:r>
    </w:p>
    <w:p w14:paraId="47095F1A" w14:textId="77777777" w:rsidR="005F1C1D" w:rsidRDefault="005F1C1D">
      <w:pPr>
        <w:wordWrap w:val="0"/>
        <w:spacing w:line="576" w:lineRule="exact"/>
        <w:ind w:right="20"/>
        <w:jc w:val="center"/>
        <w:textAlignment w:val="baseline"/>
        <w:rPr>
          <w:rFonts w:eastAsia="黑体"/>
          <w:color w:val="000000" w:themeColor="text1"/>
          <w:spacing w:val="2"/>
        </w:rPr>
      </w:pPr>
    </w:p>
    <w:p w14:paraId="4D9242F5" w14:textId="77777777" w:rsidR="005F1C1D" w:rsidRDefault="00000000">
      <w:pPr>
        <w:wordWrap w:val="0"/>
        <w:spacing w:line="576" w:lineRule="exact"/>
        <w:ind w:right="20"/>
        <w:jc w:val="center"/>
        <w:textAlignment w:val="baseline"/>
        <w:rPr>
          <w:rFonts w:eastAsia="黑体"/>
          <w:color w:val="000000" w:themeColor="text1"/>
          <w:spacing w:val="2"/>
        </w:rPr>
      </w:pPr>
      <w:r>
        <w:rPr>
          <w:rFonts w:eastAsia="黑体"/>
          <w:color w:val="000000" w:themeColor="text1"/>
          <w:spacing w:val="2"/>
        </w:rPr>
        <w:t>第四章</w:t>
      </w:r>
      <w:r>
        <w:rPr>
          <w:rFonts w:eastAsia="黑体"/>
          <w:color w:val="000000" w:themeColor="text1"/>
          <w:spacing w:val="2"/>
        </w:rPr>
        <w:t xml:space="preserve">  </w:t>
      </w:r>
      <w:r>
        <w:rPr>
          <w:rFonts w:eastAsia="黑体"/>
          <w:color w:val="000000" w:themeColor="text1"/>
          <w:spacing w:val="2"/>
        </w:rPr>
        <w:t>资金管理</w:t>
      </w:r>
    </w:p>
    <w:p w14:paraId="7F1F9B06"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第十条</w:t>
      </w:r>
      <w:r>
        <w:rPr>
          <w:rFonts w:eastAsia="国标黑体"/>
          <w:bCs/>
          <w:color w:val="000000" w:themeColor="text1"/>
          <w:kern w:val="44"/>
        </w:rPr>
        <w:t xml:space="preserve"> </w:t>
      </w:r>
      <w:r>
        <w:rPr>
          <w:color w:val="000000" w:themeColor="text1"/>
          <w:spacing w:val="2"/>
        </w:rPr>
        <w:t>专项资金支付严格执行国库集中支付制度，纳入预算管理一体化系统管理，按规定办理用款计划申请、资金支付、收支对账等。</w:t>
      </w:r>
    </w:p>
    <w:p w14:paraId="7A8B3634"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第十一条</w:t>
      </w:r>
      <w:r>
        <w:rPr>
          <w:rFonts w:eastAsia="国标黑体"/>
          <w:bCs/>
          <w:color w:val="000000" w:themeColor="text1"/>
          <w:kern w:val="44"/>
        </w:rPr>
        <w:t xml:space="preserve"> </w:t>
      </w:r>
      <w:r>
        <w:rPr>
          <w:color w:val="000000" w:themeColor="text1"/>
          <w:spacing w:val="2"/>
        </w:rPr>
        <w:t>尚未分配的专项资金，按《绵阳市人民政府办公室印发〈关于进一步加强财政支出预算执行管理的若干措施〉的通知》（</w:t>
      </w:r>
      <w:proofErr w:type="gramStart"/>
      <w:r>
        <w:rPr>
          <w:color w:val="000000" w:themeColor="text1"/>
          <w:spacing w:val="2"/>
        </w:rPr>
        <w:t>绵</w:t>
      </w:r>
      <w:proofErr w:type="gramEnd"/>
      <w:r>
        <w:rPr>
          <w:color w:val="000000" w:themeColor="text1"/>
          <w:spacing w:val="2"/>
        </w:rPr>
        <w:t>府办发〔</w:t>
      </w:r>
      <w:r>
        <w:rPr>
          <w:color w:val="000000" w:themeColor="text1"/>
          <w:spacing w:val="2"/>
        </w:rPr>
        <w:t>2023</w:t>
      </w:r>
      <w:r>
        <w:rPr>
          <w:color w:val="000000" w:themeColor="text1"/>
          <w:spacing w:val="2"/>
        </w:rPr>
        <w:t>〕</w:t>
      </w:r>
      <w:r>
        <w:rPr>
          <w:color w:val="000000" w:themeColor="text1"/>
          <w:spacing w:val="2"/>
        </w:rPr>
        <w:t>8</w:t>
      </w:r>
      <w:r>
        <w:rPr>
          <w:color w:val="000000" w:themeColor="text1"/>
          <w:spacing w:val="2"/>
        </w:rPr>
        <w:t>号）及结转结余资金管理有关规定处理。</w:t>
      </w:r>
    </w:p>
    <w:p w14:paraId="49AB6100"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第十二条</w:t>
      </w:r>
      <w:r>
        <w:rPr>
          <w:rFonts w:eastAsia="国标黑体"/>
          <w:bCs/>
          <w:color w:val="000000" w:themeColor="text1"/>
          <w:kern w:val="44"/>
        </w:rPr>
        <w:t xml:space="preserve"> </w:t>
      </w:r>
      <w:r>
        <w:rPr>
          <w:color w:val="000000" w:themeColor="text1"/>
          <w:spacing w:val="2"/>
        </w:rPr>
        <w:t>依法属于政府采购的项目，应当按照政府集中采购目录及采购限额标准编制政府采购预算，禁止拆分项目规避政府采购。禁止超预算、无预算开展政府采购。对适宜由中小企业提供的，应预留采购份额面向中小企业采购，并在政府采购预算中单独列示。</w:t>
      </w:r>
    </w:p>
    <w:p w14:paraId="4EB51D6F"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第十三条</w:t>
      </w:r>
      <w:r>
        <w:rPr>
          <w:color w:val="000000" w:themeColor="text1"/>
          <w:spacing w:val="2"/>
        </w:rPr>
        <w:t xml:space="preserve"> </w:t>
      </w:r>
      <w:r>
        <w:rPr>
          <w:color w:val="000000" w:themeColor="text1"/>
          <w:spacing w:val="2"/>
        </w:rPr>
        <w:t>项目实施过程中，</w:t>
      </w:r>
      <w:r>
        <w:rPr>
          <w:color w:val="000000" w:themeColor="text1"/>
        </w:rPr>
        <w:t>事业单位使用专项资金形成的固定资产属于国有资产，应当按照国家有关国有资产管理的规定</w:t>
      </w:r>
      <w:r>
        <w:rPr>
          <w:color w:val="000000" w:themeColor="text1"/>
          <w:spacing w:val="2"/>
        </w:rPr>
        <w:t>执行；事业单位使用专项资金形成的职务科技成果实行单列管理，</w:t>
      </w:r>
      <w:proofErr w:type="gramStart"/>
      <w:r>
        <w:rPr>
          <w:color w:val="000000" w:themeColor="text1"/>
          <w:spacing w:val="2"/>
        </w:rPr>
        <w:t>按国省关于</w:t>
      </w:r>
      <w:proofErr w:type="gramEnd"/>
      <w:r>
        <w:rPr>
          <w:color w:val="000000" w:themeColor="text1"/>
          <w:spacing w:val="2"/>
        </w:rPr>
        <w:t>职务科技成果单列管理的相关规定执行。企业</w:t>
      </w:r>
      <w:r>
        <w:rPr>
          <w:color w:val="000000" w:themeColor="text1"/>
          <w:spacing w:val="2"/>
        </w:rPr>
        <w:lastRenderedPageBreak/>
        <w:t>使用专项资金形成的资产，按照企业财务与资产管理相关规章制度执行。</w:t>
      </w:r>
    </w:p>
    <w:p w14:paraId="1536FC66"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用专项资金购买的科研仪器和设备，按规定纳入四川省大型科研仪器与工业设备共享服务平台，并对外开放共享。</w:t>
      </w:r>
    </w:p>
    <w:p w14:paraId="797D9D0F"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第十四条</w:t>
      </w:r>
      <w:r>
        <w:rPr>
          <w:rFonts w:eastAsia="国标黑体"/>
          <w:bCs/>
          <w:color w:val="000000" w:themeColor="text1"/>
          <w:kern w:val="44"/>
        </w:rPr>
        <w:t xml:space="preserve"> </w:t>
      </w:r>
      <w:r>
        <w:rPr>
          <w:color w:val="000000" w:themeColor="text1"/>
          <w:spacing w:val="2"/>
        </w:rPr>
        <w:t>专项资金支持方式包括前补助和后补助，具体方式在项目申报通知或指南中明确。</w:t>
      </w:r>
    </w:p>
    <w:p w14:paraId="62FF37A4" w14:textId="77777777" w:rsidR="005F1C1D" w:rsidRDefault="00000000">
      <w:pPr>
        <w:widowControl/>
        <w:wordWrap w:val="0"/>
        <w:spacing w:line="576" w:lineRule="exact"/>
        <w:ind w:right="20" w:firstLine="620"/>
        <w:textAlignment w:val="baseline"/>
        <w:rPr>
          <w:color w:val="000000" w:themeColor="text1"/>
          <w:spacing w:val="2"/>
        </w:rPr>
      </w:pPr>
      <w:r>
        <w:rPr>
          <w:color w:val="000000" w:themeColor="text1"/>
          <w:spacing w:val="2"/>
        </w:rPr>
        <w:t>（一）前补助是指项目立项同步核定专项资金支持额度的支持方式。</w:t>
      </w:r>
    </w:p>
    <w:p w14:paraId="74067DB2"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（二）后补助是指单位已先行投入资金或设备（设施）开展研发活动、转化科技成果、提供科技创新服务等，市级财政根据实施绩效、评估结果、获奖情况等，事后给予专项资金的支持方式。</w:t>
      </w:r>
    </w:p>
    <w:p w14:paraId="3810FDD1"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第十五条</w:t>
      </w:r>
      <w:r>
        <w:rPr>
          <w:color w:val="000000" w:themeColor="text1"/>
          <w:spacing w:val="2"/>
        </w:rPr>
        <w:t xml:space="preserve"> </w:t>
      </w:r>
      <w:r>
        <w:rPr>
          <w:color w:val="000000" w:themeColor="text1"/>
          <w:spacing w:val="2"/>
        </w:rPr>
        <w:t>以前补助方式支持的项目资金，由直接费用和间接费用组成。</w:t>
      </w:r>
    </w:p>
    <w:p w14:paraId="7EE600FB"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（一）直接费用是指在项目实施过程中发生的与之直接相关的费用。主要包括：</w:t>
      </w:r>
    </w:p>
    <w:p w14:paraId="58C09704"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1.</w:t>
      </w:r>
      <w:r>
        <w:rPr>
          <w:color w:val="000000" w:themeColor="text1"/>
          <w:spacing w:val="2"/>
        </w:rPr>
        <w:t>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6F6E5BC7"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2.</w:t>
      </w:r>
      <w:r>
        <w:rPr>
          <w:color w:val="000000" w:themeColor="text1"/>
          <w:spacing w:val="2"/>
        </w:rPr>
        <w:t>业务费：是指在项目实施过程中消耗的各种材料、辅助材</w:t>
      </w:r>
      <w:r>
        <w:rPr>
          <w:color w:val="000000" w:themeColor="text1"/>
          <w:spacing w:val="2"/>
        </w:rPr>
        <w:lastRenderedPageBreak/>
        <w:t>料等低值易耗品的采购、运输、装卸、整理等费用，发生的测试化验加工，燃料动力，出版、文献、信息传播、知识产权事务，会议、差旅、国际合作交流等费用，以及其他相关支出。</w:t>
      </w:r>
    </w:p>
    <w:p w14:paraId="77C3CDA3"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3.</w:t>
      </w:r>
      <w:r>
        <w:rPr>
          <w:color w:val="000000" w:themeColor="text1"/>
          <w:spacing w:val="2"/>
        </w:rPr>
        <w:t>劳务费：是指在项目实施过程中支付给参与项目的研究生、博士后、访问学者和项目聘用的研究人员、科研辅助人员等的劳务性费用，以及支付给临时聘请的咨询专家的费用等。项目聘用人员劳务费开支标准，参照当地统计年鉴发布的科学研究和技术服务业从业人员平均工资水平，根据其在项目研究中承担的工作任务确定，其由单位缴纳的社会保险补助、住房公积金等纳入劳务费科目开支。支付给临时聘请的咨询专家的费用，不得支付给参与本项目研究和管理的相关人员，其管理按照国家有关规定执行。项目评审费用按我市有关规定执行。</w:t>
      </w:r>
    </w:p>
    <w:p w14:paraId="2DB4D93B"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市级科研院所科研条件建设项目，可在直接费用中列支全部试生产、建设、运行等费用；科技创新平台建设项目、科技成果转化项目，可在直接费用中列支部分试生产、建设、运行等费用。</w:t>
      </w:r>
    </w:p>
    <w:p w14:paraId="0DFE7F62" w14:textId="77777777" w:rsidR="005F1C1D" w:rsidRDefault="00000000">
      <w:pPr>
        <w:wordWrap w:val="0"/>
        <w:spacing w:line="576" w:lineRule="exact"/>
        <w:ind w:right="23" w:firstLine="709"/>
        <w:textAlignment w:val="baseline"/>
        <w:rPr>
          <w:color w:val="000000" w:themeColor="text1"/>
          <w:spacing w:val="2"/>
        </w:rPr>
      </w:pPr>
      <w:r>
        <w:rPr>
          <w:color w:val="000000" w:themeColor="text1"/>
          <w:spacing w:val="2"/>
        </w:rPr>
        <w:t>（二）间接费用是指承担单位在组织实施项目过程中发生的无法在直接费用中列支的相关费用。主要包括：承担单位为项目研究提供的房屋占用，日常水、电、气、暖等消耗，有关管理费用的补助支出，以及激励科研人员的绩效支出等。安排绩效支出要合理合</w:t>
      </w:r>
      <w:proofErr w:type="gramStart"/>
      <w:r>
        <w:rPr>
          <w:color w:val="000000" w:themeColor="text1"/>
          <w:spacing w:val="2"/>
        </w:rPr>
        <w:t>规</w:t>
      </w:r>
      <w:proofErr w:type="gramEnd"/>
      <w:r>
        <w:rPr>
          <w:color w:val="000000" w:themeColor="text1"/>
          <w:spacing w:val="2"/>
        </w:rPr>
        <w:t>、公开公平，符合国家事业单位绩效工资有关管理制度规定。</w:t>
      </w:r>
    </w:p>
    <w:p w14:paraId="776988FF" w14:textId="77777777" w:rsidR="005F1C1D" w:rsidRDefault="00000000">
      <w:pPr>
        <w:wordWrap w:val="0"/>
        <w:spacing w:line="576" w:lineRule="exact"/>
        <w:ind w:right="23" w:firstLine="709"/>
        <w:textAlignment w:val="baseline"/>
        <w:rPr>
          <w:color w:val="000000" w:themeColor="text1"/>
          <w:spacing w:val="2"/>
        </w:rPr>
      </w:pPr>
      <w:r>
        <w:rPr>
          <w:color w:val="000000" w:themeColor="text1"/>
          <w:spacing w:val="2"/>
        </w:rPr>
        <w:lastRenderedPageBreak/>
        <w:t>1.</w:t>
      </w:r>
      <w:r>
        <w:rPr>
          <w:color w:val="000000" w:themeColor="text1"/>
          <w:spacing w:val="2"/>
        </w:rPr>
        <w:t>间接费用实行总额控制，按照不超过直接费用扣除设备购置费后的一定比例核定。具体比例如下：</w:t>
      </w:r>
      <w:r>
        <w:rPr>
          <w:color w:val="000000" w:themeColor="text1"/>
          <w:spacing w:val="2"/>
        </w:rPr>
        <w:t>500</w:t>
      </w:r>
      <w:r>
        <w:rPr>
          <w:color w:val="000000" w:themeColor="text1"/>
          <w:spacing w:val="2"/>
        </w:rPr>
        <w:t>万元及以下部分为</w:t>
      </w:r>
      <w:r>
        <w:rPr>
          <w:color w:val="000000" w:themeColor="text1"/>
          <w:spacing w:val="2"/>
        </w:rPr>
        <w:t>30%</w:t>
      </w:r>
      <w:r>
        <w:rPr>
          <w:color w:val="000000" w:themeColor="text1"/>
          <w:spacing w:val="2"/>
        </w:rPr>
        <w:t>；超过</w:t>
      </w:r>
      <w:r>
        <w:rPr>
          <w:color w:val="000000" w:themeColor="text1"/>
          <w:spacing w:val="2"/>
        </w:rPr>
        <w:t>500</w:t>
      </w:r>
      <w:r>
        <w:rPr>
          <w:color w:val="000000" w:themeColor="text1"/>
          <w:spacing w:val="2"/>
        </w:rPr>
        <w:t>万元至</w:t>
      </w:r>
      <w:r>
        <w:rPr>
          <w:color w:val="000000" w:themeColor="text1"/>
          <w:spacing w:val="2"/>
        </w:rPr>
        <w:t>1000</w:t>
      </w:r>
      <w:r>
        <w:rPr>
          <w:color w:val="000000" w:themeColor="text1"/>
          <w:spacing w:val="2"/>
        </w:rPr>
        <w:t>万元的部分为</w:t>
      </w:r>
      <w:r>
        <w:rPr>
          <w:color w:val="000000" w:themeColor="text1"/>
          <w:spacing w:val="2"/>
        </w:rPr>
        <w:t>25%</w:t>
      </w:r>
      <w:r>
        <w:rPr>
          <w:color w:val="000000" w:themeColor="text1"/>
          <w:spacing w:val="2"/>
        </w:rPr>
        <w:t>；超过</w:t>
      </w:r>
      <w:r>
        <w:rPr>
          <w:color w:val="000000" w:themeColor="text1"/>
          <w:spacing w:val="2"/>
        </w:rPr>
        <w:t>1000</w:t>
      </w:r>
      <w:r>
        <w:rPr>
          <w:color w:val="000000" w:themeColor="text1"/>
          <w:spacing w:val="2"/>
        </w:rPr>
        <w:t>万元以上的部分为</w:t>
      </w:r>
      <w:r>
        <w:rPr>
          <w:color w:val="000000" w:themeColor="text1"/>
          <w:spacing w:val="2"/>
        </w:rPr>
        <w:t>20%</w:t>
      </w:r>
      <w:r>
        <w:rPr>
          <w:color w:val="000000" w:themeColor="text1"/>
          <w:spacing w:val="2"/>
        </w:rPr>
        <w:t>。</w:t>
      </w:r>
    </w:p>
    <w:p w14:paraId="26B999E5"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2.</w:t>
      </w:r>
      <w:r>
        <w:rPr>
          <w:color w:val="000000" w:themeColor="text1"/>
          <w:spacing w:val="2"/>
        </w:rPr>
        <w:t>自然科学基金、软科学、软件开发、集成电路设计等项目，可按不超过专项资金额度的</w:t>
      </w:r>
      <w:r>
        <w:rPr>
          <w:color w:val="000000" w:themeColor="text1"/>
          <w:spacing w:val="2"/>
        </w:rPr>
        <w:t>40%</w:t>
      </w:r>
      <w:r>
        <w:rPr>
          <w:color w:val="000000" w:themeColor="text1"/>
          <w:spacing w:val="2"/>
        </w:rPr>
        <w:t>核定间接费用。对数学等纯理论基础研究项目，可按不超过专项资金额度的</w:t>
      </w:r>
      <w:r>
        <w:rPr>
          <w:color w:val="000000" w:themeColor="text1"/>
          <w:spacing w:val="2"/>
        </w:rPr>
        <w:t>60%</w:t>
      </w:r>
      <w:r>
        <w:rPr>
          <w:color w:val="000000" w:themeColor="text1"/>
          <w:spacing w:val="2"/>
        </w:rPr>
        <w:t>核定间接费用。</w:t>
      </w:r>
    </w:p>
    <w:p w14:paraId="3951B863" w14:textId="77777777" w:rsidR="005F1C1D" w:rsidRDefault="00000000">
      <w:pPr>
        <w:wordWrap w:val="0"/>
        <w:spacing w:line="576" w:lineRule="exact"/>
        <w:ind w:right="23" w:firstLine="709"/>
        <w:textAlignment w:val="baseline"/>
        <w:rPr>
          <w:color w:val="000000" w:themeColor="text1"/>
          <w:spacing w:val="2"/>
        </w:rPr>
      </w:pPr>
      <w:r>
        <w:rPr>
          <w:color w:val="000000" w:themeColor="text1"/>
          <w:spacing w:val="2"/>
        </w:rPr>
        <w:t>3.</w:t>
      </w:r>
      <w:r>
        <w:rPr>
          <w:color w:val="000000" w:themeColor="text1"/>
          <w:spacing w:val="2"/>
        </w:rPr>
        <w:t>间接费用由牵头单位统筹安排使用。项目中有多个单位的，间接费用在总额范围内由项目牵头单位与合作单位协商分配。不得在核定的间接费用以外，再以任何名义在项目资金中重复提取、列支相关费用。</w:t>
      </w:r>
    </w:p>
    <w:p w14:paraId="0F1B91C6" w14:textId="77777777" w:rsidR="005F1C1D" w:rsidRDefault="00000000">
      <w:pPr>
        <w:wordWrap w:val="0"/>
        <w:spacing w:line="576" w:lineRule="exact"/>
        <w:ind w:right="23" w:firstLine="709"/>
        <w:textAlignment w:val="baseline"/>
        <w:rPr>
          <w:color w:val="000000" w:themeColor="text1"/>
          <w:spacing w:val="2"/>
        </w:rPr>
      </w:pPr>
      <w:r>
        <w:rPr>
          <w:color w:val="000000" w:themeColor="text1"/>
          <w:spacing w:val="2"/>
        </w:rPr>
        <w:t>4.</w:t>
      </w:r>
      <w:r>
        <w:rPr>
          <w:color w:val="000000" w:themeColor="text1"/>
          <w:spacing w:val="2"/>
        </w:rPr>
        <w:t>项目单位应当建立健全关于间接费用的内部管理办法，公开透明、合</w:t>
      </w:r>
      <w:proofErr w:type="gramStart"/>
      <w:r>
        <w:rPr>
          <w:color w:val="000000" w:themeColor="text1"/>
          <w:spacing w:val="2"/>
        </w:rPr>
        <w:t>规</w:t>
      </w:r>
      <w:proofErr w:type="gramEnd"/>
      <w:r>
        <w:rPr>
          <w:color w:val="000000" w:themeColor="text1"/>
          <w:spacing w:val="2"/>
        </w:rPr>
        <w:t>合理使用间接费用，处理好分摊间接成本和对科研人员激励的关系。绩效支出安排应当与科研人员在项目工作中的实际贡献挂钩。项目单位可将间接费用全部用于绩效支出，并向创新绩效突出的团队和个人倾斜。</w:t>
      </w:r>
    </w:p>
    <w:p w14:paraId="2FB40A4F"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科技创新平台建设项目、科技成果转化项目、市级科研院所科研条件建设项目、科学技术普及项目，以及高端科研学术交流、科技成果对接、科学传播推广等活动项目不得列支间接费用。</w:t>
      </w:r>
    </w:p>
    <w:p w14:paraId="28FC4713"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第十六条</w:t>
      </w:r>
      <w:r>
        <w:rPr>
          <w:rFonts w:eastAsia="国标黑体"/>
          <w:bCs/>
          <w:color w:val="000000" w:themeColor="text1"/>
          <w:kern w:val="44"/>
        </w:rPr>
        <w:t xml:space="preserve"> </w:t>
      </w:r>
      <w:r>
        <w:rPr>
          <w:color w:val="000000" w:themeColor="text1"/>
          <w:spacing w:val="2"/>
        </w:rPr>
        <w:t>国家科学技术奖获奖成果后补助等直接补助给</w:t>
      </w:r>
      <w:r>
        <w:rPr>
          <w:color w:val="000000" w:themeColor="text1"/>
          <w:spacing w:val="2"/>
        </w:rPr>
        <w:lastRenderedPageBreak/>
        <w:t>个人的后补助由单位支付给个人。其余后补助资金由单位统筹使用，用于与科技创新活动相关的支出，不得用于绩效支出。</w:t>
      </w:r>
    </w:p>
    <w:p w14:paraId="713F7D97"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第十七条</w:t>
      </w:r>
      <w:r>
        <w:rPr>
          <w:rFonts w:eastAsia="国标黑体"/>
          <w:bCs/>
          <w:color w:val="000000" w:themeColor="text1"/>
          <w:kern w:val="44"/>
        </w:rPr>
        <w:t xml:space="preserve"> </w:t>
      </w:r>
      <w:r>
        <w:rPr>
          <w:color w:val="000000" w:themeColor="text1"/>
          <w:spacing w:val="2"/>
        </w:rPr>
        <w:t>项目单位应当按照政策相符性、目标相关性和经济合理性原则，科学、合理、真实地编制预算，对设备费、业务费、劳务费预算应据实编制，不得简单按比例编制。直接费用中除</w:t>
      </w:r>
      <w:r>
        <w:rPr>
          <w:color w:val="000000" w:themeColor="text1"/>
          <w:spacing w:val="2"/>
        </w:rPr>
        <w:t>50</w:t>
      </w:r>
      <w:r>
        <w:rPr>
          <w:color w:val="000000" w:themeColor="text1"/>
          <w:spacing w:val="2"/>
        </w:rPr>
        <w:t>万元以上的设备费外，其他费用只提供基本测算说明，不需要提供明细。实行包干制的项目或科研机构，无需编制预算。实行包干制项目的牵头单位须制定内部管理规定，加强对资金使用的管理、指导和监督，确保资金安全和规范有效使用。</w:t>
      </w:r>
    </w:p>
    <w:p w14:paraId="2BC1F3F5"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第十八条</w:t>
      </w:r>
      <w:r>
        <w:rPr>
          <w:rFonts w:eastAsia="国标黑体"/>
          <w:bCs/>
          <w:color w:val="000000" w:themeColor="text1"/>
          <w:kern w:val="44"/>
        </w:rPr>
        <w:t xml:space="preserve"> </w:t>
      </w:r>
      <w:r>
        <w:rPr>
          <w:color w:val="000000" w:themeColor="text1"/>
          <w:spacing w:val="2"/>
        </w:rPr>
        <w:t>项目牵头单位是项目资金管理使用和监督的责任主体，应当建立完善内部管理制度，加强项目资金监督管理，包括合作单位管理使用资金情况。项目牵头单位根据项目合作协议，结合项目任务需要，将经费拨付至合作单位，合作单位不得再向外转拨资金。</w:t>
      </w:r>
    </w:p>
    <w:p w14:paraId="4AB8B946"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第十九条</w:t>
      </w:r>
      <w:r>
        <w:rPr>
          <w:rFonts w:eastAsia="国标黑体"/>
          <w:bCs/>
          <w:color w:val="000000" w:themeColor="text1"/>
          <w:kern w:val="44"/>
        </w:rPr>
        <w:t xml:space="preserve"> </w:t>
      </w:r>
      <w:r>
        <w:rPr>
          <w:color w:val="000000" w:themeColor="text1"/>
          <w:spacing w:val="2"/>
        </w:rPr>
        <w:t>事业单位类高校、科研院所按照从严从简、依规依法、提质增效、实事求是、公开透明、深化改革的原则，制定差旅费、会议费管理办法，自主确定开支范围和标准。在项目实施过程中，承担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w:t>
      </w:r>
      <w:r>
        <w:rPr>
          <w:color w:val="000000" w:themeColor="text1"/>
          <w:spacing w:val="2"/>
        </w:rPr>
        <w:lastRenderedPageBreak/>
        <w:t>票或者财政性票据的，在确保真实性的前提下，可按实际发生额予以报销。</w:t>
      </w:r>
    </w:p>
    <w:p w14:paraId="2BA87FE8"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第二十条</w:t>
      </w:r>
      <w:r>
        <w:rPr>
          <w:rFonts w:eastAsia="国标黑体"/>
          <w:bCs/>
          <w:color w:val="000000" w:themeColor="text1"/>
          <w:kern w:val="44"/>
        </w:rPr>
        <w:t xml:space="preserve"> </w:t>
      </w:r>
      <w:r>
        <w:rPr>
          <w:color w:val="000000" w:themeColor="text1"/>
          <w:spacing w:val="2"/>
        </w:rPr>
        <w:t>项目单位要将项目资金纳入单位财务统一管理，实行单独核算，确保专款专用；要提高财务信息化水平简化报销流程，最大化减轻科研人员负担。</w:t>
      </w:r>
    </w:p>
    <w:p w14:paraId="7A3FBA13"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第二十一条</w:t>
      </w:r>
      <w:r>
        <w:rPr>
          <w:rFonts w:eastAsia="国标黑体"/>
          <w:bCs/>
          <w:color w:val="000000" w:themeColor="text1"/>
          <w:kern w:val="44"/>
        </w:rPr>
        <w:t xml:space="preserve"> </w:t>
      </w:r>
      <w:r>
        <w:rPr>
          <w:color w:val="000000" w:themeColor="text1"/>
          <w:spacing w:val="2"/>
        </w:rPr>
        <w:t>项目单位应当严格执行国家有关支出管理制度。对应当实行</w:t>
      </w:r>
      <w:r>
        <w:rPr>
          <w:color w:val="000000" w:themeColor="text1"/>
          <w:spacing w:val="2"/>
        </w:rPr>
        <w:t>“</w:t>
      </w:r>
      <w:r>
        <w:rPr>
          <w:color w:val="000000" w:themeColor="text1"/>
          <w:spacing w:val="2"/>
        </w:rPr>
        <w:t>公务卡</w:t>
      </w:r>
      <w:r>
        <w:rPr>
          <w:color w:val="000000" w:themeColor="text1"/>
          <w:spacing w:val="2"/>
        </w:rPr>
        <w:t>”</w:t>
      </w:r>
      <w:r>
        <w:rPr>
          <w:color w:val="000000" w:themeColor="text1"/>
          <w:spacing w:val="2"/>
        </w:rPr>
        <w:t>结算的支出按照有关规定执行。对于设备、大宗材料、测试化验加工、劳务、专家咨询等费用，原则上应当通过银行转账方式结算。</w:t>
      </w:r>
    </w:p>
    <w:p w14:paraId="79D26016"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第二十二条</w:t>
      </w:r>
      <w:r>
        <w:rPr>
          <w:color w:val="000000" w:themeColor="text1"/>
          <w:spacing w:val="2"/>
        </w:rPr>
        <w:t xml:space="preserve"> </w:t>
      </w:r>
      <w:r>
        <w:rPr>
          <w:color w:val="000000" w:themeColor="text1"/>
          <w:spacing w:val="2"/>
        </w:rPr>
        <w:t>项目单位应当按照下达的预算执行。确有必要调整，应当按照以下调整范围和权限，履行相关程序：</w:t>
      </w:r>
    </w:p>
    <w:p w14:paraId="16BD2F7F"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（一）项目预算总额度不予调剂。</w:t>
      </w:r>
    </w:p>
    <w:p w14:paraId="72D3C638"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（二）项目预算总额不变、合作单位之间调剂预算的，由牵头单位批准后实施，有关批准手续作为项目验收评价的依据。</w:t>
      </w:r>
    </w:p>
    <w:p w14:paraId="41683D31"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（三）除设备费外的其他直接费用调剂，由项目负责人根据科研活动实际需要自主安排，</w:t>
      </w:r>
      <w:proofErr w:type="gramStart"/>
      <w:r>
        <w:rPr>
          <w:color w:val="000000" w:themeColor="text1"/>
          <w:spacing w:val="2"/>
        </w:rPr>
        <w:t>报项目</w:t>
      </w:r>
      <w:proofErr w:type="gramEnd"/>
      <w:r>
        <w:rPr>
          <w:color w:val="000000" w:themeColor="text1"/>
          <w:spacing w:val="2"/>
        </w:rPr>
        <w:t>单位备案。</w:t>
      </w:r>
    </w:p>
    <w:p w14:paraId="57005B8A"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（四）间接费用预算总额不得调增，经牵头单位与项目负责人协商一致后，可调减用于直接费用；间接费用总额不变、合作单位之间调剂的，由牵头单位与合作单位协商确定。</w:t>
      </w:r>
    </w:p>
    <w:p w14:paraId="43C495B3"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第二十三条</w:t>
      </w:r>
      <w:r>
        <w:rPr>
          <w:rFonts w:eastAsia="国标黑体"/>
          <w:bCs/>
          <w:color w:val="000000" w:themeColor="text1"/>
          <w:kern w:val="44"/>
        </w:rPr>
        <w:t xml:space="preserve"> </w:t>
      </w:r>
      <w:r>
        <w:rPr>
          <w:color w:val="000000" w:themeColor="text1"/>
          <w:spacing w:val="2"/>
        </w:rPr>
        <w:t>专项资金管理使用不得存在以下行为：</w:t>
      </w:r>
    </w:p>
    <w:p w14:paraId="67AFC253"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（一）编报虚假预算；</w:t>
      </w:r>
    </w:p>
    <w:p w14:paraId="5CBEE33C"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（二）未对专项资金进行单独核算；</w:t>
      </w:r>
    </w:p>
    <w:p w14:paraId="22206305"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lastRenderedPageBreak/>
        <w:t>（三）未按规定执行和调剂预算、违反规定转拨专项资金；</w:t>
      </w:r>
    </w:p>
    <w:p w14:paraId="4F8371B6"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（四）虚假承诺其他来源资金；</w:t>
      </w:r>
    </w:p>
    <w:p w14:paraId="00AE241E"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（五）通过虚假合同、虚假票据、虚构事项、虚报人员等弄虚作假，转移、套取、报销专项资金；</w:t>
      </w:r>
    </w:p>
    <w:p w14:paraId="33AC53F0"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（六）截留、挤占、挪用专项资金；</w:t>
      </w:r>
    </w:p>
    <w:p w14:paraId="751CEB23"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（七）设置账外账、随意调账变动支出、随意修改记账凭证、提供虚假财务会计资料等；</w:t>
      </w:r>
    </w:p>
    <w:p w14:paraId="717597F5"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（八）其他违反国家财经纪律的行为。</w:t>
      </w:r>
    </w:p>
    <w:p w14:paraId="47538C5D" w14:textId="77777777" w:rsidR="005F1C1D" w:rsidRDefault="005F1C1D">
      <w:pPr>
        <w:pStyle w:val="20"/>
        <w:rPr>
          <w:rFonts w:ascii="Times New Roman" w:hAnsi="Times New Roman"/>
        </w:rPr>
      </w:pPr>
    </w:p>
    <w:p w14:paraId="6B3C9716" w14:textId="77777777" w:rsidR="005F1C1D" w:rsidRDefault="00000000">
      <w:pPr>
        <w:wordWrap w:val="0"/>
        <w:spacing w:line="576" w:lineRule="exact"/>
        <w:ind w:right="20"/>
        <w:jc w:val="center"/>
        <w:textAlignment w:val="baseline"/>
        <w:rPr>
          <w:rFonts w:eastAsia="黑体"/>
          <w:color w:val="000000" w:themeColor="text1"/>
          <w:spacing w:val="2"/>
        </w:rPr>
      </w:pPr>
      <w:r>
        <w:rPr>
          <w:rFonts w:eastAsia="黑体"/>
          <w:color w:val="000000" w:themeColor="text1"/>
          <w:spacing w:val="2"/>
        </w:rPr>
        <w:t>第五章</w:t>
      </w:r>
      <w:r>
        <w:rPr>
          <w:rFonts w:eastAsia="黑体"/>
          <w:color w:val="000000" w:themeColor="text1"/>
          <w:spacing w:val="2"/>
        </w:rPr>
        <w:t xml:space="preserve">  </w:t>
      </w:r>
      <w:r>
        <w:rPr>
          <w:rFonts w:eastAsia="黑体"/>
          <w:color w:val="000000" w:themeColor="text1"/>
          <w:spacing w:val="2"/>
        </w:rPr>
        <w:t>预算绩效管理与验收评价</w:t>
      </w:r>
    </w:p>
    <w:p w14:paraId="0E7D15E4"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第二十四条</w:t>
      </w:r>
      <w:r>
        <w:rPr>
          <w:color w:val="000000" w:themeColor="text1"/>
          <w:spacing w:val="2"/>
        </w:rPr>
        <w:t xml:space="preserve"> </w:t>
      </w:r>
      <w:r>
        <w:rPr>
          <w:color w:val="000000" w:themeColor="text1"/>
          <w:spacing w:val="2"/>
        </w:rPr>
        <w:t>市科技局发布的申报指南（通知）应设定绩效目标。前补助方式支持的项目在申报书和任务书中填报绩效目标，绩效目标作为立项评审、中期评估、验收评价的主要依据。</w:t>
      </w:r>
    </w:p>
    <w:p w14:paraId="6FBD78B5"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第二十五条</w:t>
      </w:r>
      <w:r>
        <w:rPr>
          <w:color w:val="000000" w:themeColor="text1"/>
          <w:spacing w:val="2"/>
        </w:rPr>
        <w:t xml:space="preserve"> </w:t>
      </w:r>
      <w:r>
        <w:rPr>
          <w:color w:val="000000" w:themeColor="text1"/>
          <w:spacing w:val="2"/>
        </w:rPr>
        <w:t>市科技局构建差异化的绩效评价指标体系，加强验收评价。基于科研项目特点，市财政局适当延长市级科技计划项目绩效运行监控和绩效评价周期。</w:t>
      </w:r>
    </w:p>
    <w:p w14:paraId="52CCB063"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第二十六条</w:t>
      </w:r>
      <w:r>
        <w:rPr>
          <w:rFonts w:eastAsia="国标黑体"/>
          <w:bCs/>
          <w:color w:val="000000" w:themeColor="text1"/>
          <w:kern w:val="44"/>
        </w:rPr>
        <w:t xml:space="preserve"> </w:t>
      </w:r>
      <w:r>
        <w:rPr>
          <w:color w:val="000000" w:themeColor="text1"/>
          <w:spacing w:val="2"/>
        </w:rPr>
        <w:t>市财政局会同市科技局对专项资金执行情况进行绩效评价和监督检查，强化全过程跟踪问效管理，逐步建立包括社会中介机构在内的专项资金监督评价体系。评价和检查结果作为以后年度专项资金安排的重要依据。</w:t>
      </w:r>
    </w:p>
    <w:p w14:paraId="1197B0E4"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第二十七条</w:t>
      </w:r>
      <w:r>
        <w:rPr>
          <w:color w:val="000000" w:themeColor="text1"/>
          <w:spacing w:val="2"/>
        </w:rPr>
        <w:t xml:space="preserve"> </w:t>
      </w:r>
      <w:r>
        <w:rPr>
          <w:color w:val="000000" w:themeColor="text1"/>
          <w:spacing w:val="2"/>
        </w:rPr>
        <w:t>项目单位落实预算绩效管理主体责任，全面加强预算绩效管理，强化绩效目标设定、资金使用绩效评价。项</w:t>
      </w:r>
      <w:r>
        <w:rPr>
          <w:color w:val="000000" w:themeColor="text1"/>
          <w:spacing w:val="2"/>
        </w:rPr>
        <w:lastRenderedPageBreak/>
        <w:t>目执行期满后，牵头单位应当及时梳理任务完成情况，组织清理账目与资产，如实编制项目资金决算，对照项目任务</w:t>
      </w:r>
      <w:proofErr w:type="gramStart"/>
      <w:r>
        <w:rPr>
          <w:color w:val="000000" w:themeColor="text1"/>
          <w:spacing w:val="2"/>
        </w:rPr>
        <w:t>书开展</w:t>
      </w:r>
      <w:proofErr w:type="gramEnd"/>
      <w:r>
        <w:rPr>
          <w:color w:val="000000" w:themeColor="text1"/>
          <w:spacing w:val="2"/>
        </w:rPr>
        <w:t>验收评价自评。</w:t>
      </w:r>
    </w:p>
    <w:p w14:paraId="0369D607"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第二十八条</w:t>
      </w:r>
      <w:r>
        <w:rPr>
          <w:color w:val="000000" w:themeColor="text1"/>
          <w:spacing w:val="2"/>
        </w:rPr>
        <w:t xml:space="preserve"> 50</w:t>
      </w:r>
      <w:r>
        <w:rPr>
          <w:color w:val="000000" w:themeColor="text1"/>
          <w:spacing w:val="2"/>
        </w:rPr>
        <w:t>万元及以上的项目，牵头单位应聘请会计师事务所，开展项目验收评价财务审计。验收评价财务审计报告是项目验收评价的重要依据。</w:t>
      </w:r>
    </w:p>
    <w:p w14:paraId="0E446AB1"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第二十九条</w:t>
      </w:r>
      <w:r>
        <w:rPr>
          <w:rFonts w:eastAsia="国标黑体"/>
          <w:bCs/>
          <w:color w:val="000000" w:themeColor="text1"/>
          <w:kern w:val="44"/>
        </w:rPr>
        <w:t xml:space="preserve"> </w:t>
      </w:r>
      <w:r>
        <w:rPr>
          <w:color w:val="000000" w:themeColor="text1"/>
          <w:spacing w:val="2"/>
        </w:rPr>
        <w:t>市科技局负责组织项目技术及财务验收。财务验收是项目验收的重要组成部分，原则上与项目技术验收同步开展。未通过财务验收的项目，不得通过项目验收，项目单位或项目负责人在三年内不得申报科技计划项目。存在下列行为之一的，不得通过财务验收：</w:t>
      </w:r>
    </w:p>
    <w:p w14:paraId="71BDB8DA"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（一）编报虚假预算，套取国家财政资金；</w:t>
      </w:r>
    </w:p>
    <w:p w14:paraId="16697803"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（二）未对专项资金进行单独核算；</w:t>
      </w:r>
    </w:p>
    <w:p w14:paraId="672DC575"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（三）截留、挤占、挪用专项资金；</w:t>
      </w:r>
    </w:p>
    <w:p w14:paraId="61FD0673"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（四）违反规定转拨、转移专项资金；</w:t>
      </w:r>
    </w:p>
    <w:p w14:paraId="42ED47AA"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（五）提供虚假财务会计资料；</w:t>
      </w:r>
    </w:p>
    <w:p w14:paraId="23E30F17"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（六）未按规定执行和调剂预算；</w:t>
      </w:r>
    </w:p>
    <w:p w14:paraId="58C6A006"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（七）虚假承诺配套资金；</w:t>
      </w:r>
    </w:p>
    <w:p w14:paraId="56F5E8A2"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（八）资金管理使用存在违规问题拒不整改；</w:t>
      </w:r>
    </w:p>
    <w:p w14:paraId="32EA829E"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（九）其他违反国家财经纪律的行为。</w:t>
      </w:r>
    </w:p>
    <w:p w14:paraId="69A1B339"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第三十条</w:t>
      </w:r>
      <w:r>
        <w:rPr>
          <w:rFonts w:eastAsia="国标黑体"/>
          <w:bCs/>
          <w:color w:val="000000" w:themeColor="text1"/>
          <w:kern w:val="44"/>
        </w:rPr>
        <w:t xml:space="preserve"> </w:t>
      </w:r>
      <w:r>
        <w:rPr>
          <w:color w:val="000000" w:themeColor="text1"/>
          <w:spacing w:val="2"/>
        </w:rPr>
        <w:t>强化绩效评价结果运用，将绩效评价结果作为项目结余资金使用的重要依据。</w:t>
      </w:r>
    </w:p>
    <w:p w14:paraId="7B658B03"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lastRenderedPageBreak/>
        <w:t>（一）验收评价结论为</w:t>
      </w:r>
      <w:r>
        <w:rPr>
          <w:color w:val="000000" w:themeColor="text1"/>
          <w:spacing w:val="2"/>
        </w:rPr>
        <w:t>“</w:t>
      </w:r>
      <w:r>
        <w:rPr>
          <w:color w:val="000000" w:themeColor="text1"/>
          <w:spacing w:val="2"/>
        </w:rPr>
        <w:t>优秀</w:t>
      </w:r>
      <w:r>
        <w:rPr>
          <w:color w:val="000000" w:themeColor="text1"/>
          <w:spacing w:val="2"/>
        </w:rPr>
        <w:t>”</w:t>
      </w:r>
      <w:r>
        <w:rPr>
          <w:color w:val="000000" w:themeColor="text1"/>
          <w:spacing w:val="2"/>
        </w:rPr>
        <w:t>和</w:t>
      </w:r>
      <w:r>
        <w:rPr>
          <w:color w:val="000000" w:themeColor="text1"/>
          <w:spacing w:val="2"/>
        </w:rPr>
        <w:t>“</w:t>
      </w:r>
      <w:r>
        <w:rPr>
          <w:color w:val="000000" w:themeColor="text1"/>
          <w:spacing w:val="2"/>
        </w:rPr>
        <w:t>合格</w:t>
      </w:r>
      <w:r>
        <w:rPr>
          <w:color w:val="000000" w:themeColor="text1"/>
          <w:spacing w:val="2"/>
        </w:rPr>
        <w:t>”</w:t>
      </w:r>
      <w:r>
        <w:rPr>
          <w:color w:val="000000" w:themeColor="text1"/>
          <w:spacing w:val="2"/>
        </w:rPr>
        <w:t>的项目，结余资金留归项目单位使用，可统筹安排用于科研活动直接支出，优先考虑原项目团队科研需求，并加强结余资金管理，健全结余资金盘活机制，加快资金使用进度。</w:t>
      </w:r>
    </w:p>
    <w:p w14:paraId="0192F538" w14:textId="77777777" w:rsidR="005F1C1D" w:rsidRDefault="00000000">
      <w:pPr>
        <w:wordWrap w:val="0"/>
        <w:spacing w:line="576" w:lineRule="exact"/>
        <w:ind w:right="20" w:firstLine="620"/>
        <w:textAlignment w:val="baseline"/>
        <w:rPr>
          <w:color w:val="000000" w:themeColor="text1"/>
          <w:spacing w:val="2"/>
        </w:rPr>
      </w:pPr>
      <w:r>
        <w:rPr>
          <w:color w:val="000000" w:themeColor="text1"/>
          <w:spacing w:val="2"/>
        </w:rPr>
        <w:t>（二）验收评价结论为</w:t>
      </w:r>
      <w:r>
        <w:rPr>
          <w:color w:val="000000" w:themeColor="text1"/>
          <w:spacing w:val="2"/>
        </w:rPr>
        <w:t>“</w:t>
      </w:r>
      <w:r>
        <w:rPr>
          <w:color w:val="000000" w:themeColor="text1"/>
          <w:spacing w:val="2"/>
        </w:rPr>
        <w:t>不合格</w:t>
      </w:r>
      <w:r>
        <w:rPr>
          <w:color w:val="000000" w:themeColor="text1"/>
          <w:spacing w:val="2"/>
        </w:rPr>
        <w:t>”</w:t>
      </w:r>
      <w:r>
        <w:rPr>
          <w:color w:val="000000" w:themeColor="text1"/>
          <w:spacing w:val="2"/>
        </w:rPr>
        <w:t>的项目和终止项目，由牵头单位按规定将需退回的项目资金原渠道退回财政。</w:t>
      </w:r>
    </w:p>
    <w:p w14:paraId="7DD61405"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第三十一条</w:t>
      </w:r>
      <w:r>
        <w:rPr>
          <w:rFonts w:eastAsia="国标黑体"/>
          <w:bCs/>
          <w:color w:val="000000" w:themeColor="text1"/>
          <w:kern w:val="44"/>
        </w:rPr>
        <w:t xml:space="preserve"> </w:t>
      </w:r>
      <w:r>
        <w:rPr>
          <w:color w:val="000000" w:themeColor="text1"/>
          <w:spacing w:val="2"/>
        </w:rPr>
        <w:t>对于撤销项目和未按规定退回结余资金的项目单位（含法定代表人）和项目负责人，通过取消项目申报资格、纳入科研诚信记录管理、实施联合惩戒等措施进行处理。</w:t>
      </w:r>
    </w:p>
    <w:p w14:paraId="18CB0A3E" w14:textId="77777777" w:rsidR="005F1C1D" w:rsidRDefault="005F1C1D">
      <w:pPr>
        <w:wordWrap w:val="0"/>
        <w:spacing w:line="576" w:lineRule="exact"/>
        <w:ind w:right="20" w:firstLine="620"/>
        <w:textAlignment w:val="baseline"/>
        <w:rPr>
          <w:color w:val="000000" w:themeColor="text1"/>
          <w:spacing w:val="2"/>
        </w:rPr>
      </w:pPr>
    </w:p>
    <w:p w14:paraId="4054A64B" w14:textId="77777777" w:rsidR="005F1C1D" w:rsidRDefault="00000000">
      <w:pPr>
        <w:wordWrap w:val="0"/>
        <w:spacing w:line="576" w:lineRule="exact"/>
        <w:ind w:right="20"/>
        <w:jc w:val="center"/>
        <w:textAlignment w:val="baseline"/>
        <w:rPr>
          <w:rFonts w:eastAsia="黑体"/>
          <w:bCs/>
          <w:color w:val="000000" w:themeColor="text1"/>
        </w:rPr>
      </w:pPr>
      <w:r>
        <w:rPr>
          <w:rFonts w:eastAsia="黑体"/>
          <w:color w:val="000000" w:themeColor="text1"/>
          <w:spacing w:val="2"/>
        </w:rPr>
        <w:t>第六章</w:t>
      </w:r>
      <w:r>
        <w:rPr>
          <w:rFonts w:eastAsia="黑体"/>
          <w:color w:val="000000" w:themeColor="text1"/>
          <w:spacing w:val="2"/>
        </w:rPr>
        <w:t xml:space="preserve">  </w:t>
      </w:r>
      <w:r>
        <w:rPr>
          <w:rFonts w:eastAsia="黑体"/>
          <w:color w:val="000000" w:themeColor="text1"/>
          <w:spacing w:val="2"/>
        </w:rPr>
        <w:t>监督检查</w:t>
      </w:r>
    </w:p>
    <w:p w14:paraId="0A7C66D0"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第三十二条</w:t>
      </w:r>
      <w:r>
        <w:rPr>
          <w:rFonts w:eastAsia="国标黑体"/>
          <w:bCs/>
          <w:color w:val="000000" w:themeColor="text1"/>
          <w:kern w:val="44"/>
        </w:rPr>
        <w:t xml:space="preserve"> </w:t>
      </w:r>
      <w:r>
        <w:rPr>
          <w:color w:val="000000" w:themeColor="text1"/>
          <w:spacing w:val="2"/>
        </w:rPr>
        <w:t>市</w:t>
      </w:r>
      <w:r>
        <w:rPr>
          <w:rFonts w:hint="eastAsia"/>
          <w:color w:val="000000" w:themeColor="text1"/>
          <w:spacing w:val="2"/>
        </w:rPr>
        <w:t>科技</w:t>
      </w:r>
      <w:r>
        <w:rPr>
          <w:color w:val="000000" w:themeColor="text1"/>
          <w:spacing w:val="2"/>
        </w:rPr>
        <w:t>局、市</w:t>
      </w:r>
      <w:r>
        <w:rPr>
          <w:rFonts w:hint="eastAsia"/>
          <w:color w:val="000000" w:themeColor="text1"/>
          <w:spacing w:val="2"/>
        </w:rPr>
        <w:t>财政</w:t>
      </w:r>
      <w:r>
        <w:rPr>
          <w:color w:val="000000" w:themeColor="text1"/>
          <w:spacing w:val="2"/>
        </w:rPr>
        <w:t>局、各县（市、区）、园区科技行政主管部门和财政部门、推荐单位、承担单位应当根据职责和分工，分层分级建立覆盖资金管理使用全过程的监督机制。加强财会监督与日常监督贯通协调，加强信息共享，避免交叉重复。强化结果应用，将监督检查结果与资金安排挂钩。</w:t>
      </w:r>
    </w:p>
    <w:p w14:paraId="6180EBB0"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第三十三条</w:t>
      </w:r>
      <w:r>
        <w:rPr>
          <w:rFonts w:eastAsia="国标黑体"/>
          <w:bCs/>
          <w:color w:val="000000" w:themeColor="text1"/>
          <w:kern w:val="44"/>
        </w:rPr>
        <w:t xml:space="preserve"> </w:t>
      </w:r>
      <w:r>
        <w:rPr>
          <w:color w:val="000000" w:themeColor="text1"/>
          <w:spacing w:val="2"/>
        </w:rPr>
        <w:t>对巡视巡察、审计监督和财会监督等各类监督检查中发现的问题，责任单位应及时制定整改措施，切实整改到位。</w:t>
      </w:r>
    </w:p>
    <w:p w14:paraId="29DEACA2" w14:textId="77777777" w:rsidR="005F1C1D" w:rsidRDefault="00000000">
      <w:pPr>
        <w:wordWrap w:val="0"/>
        <w:spacing w:line="576" w:lineRule="exact"/>
        <w:ind w:firstLine="580"/>
        <w:textAlignment w:val="baseline"/>
        <w:rPr>
          <w:color w:val="000000" w:themeColor="text1"/>
          <w:spacing w:val="2"/>
        </w:rPr>
      </w:pPr>
      <w:r>
        <w:rPr>
          <w:rFonts w:eastAsia="国标黑体"/>
          <w:bCs/>
          <w:color w:val="000000" w:themeColor="text1"/>
          <w:kern w:val="44"/>
        </w:rPr>
        <w:t>第三十四条</w:t>
      </w:r>
      <w:r>
        <w:rPr>
          <w:rFonts w:eastAsia="国标黑体"/>
          <w:bCs/>
          <w:color w:val="000000" w:themeColor="text1"/>
          <w:kern w:val="44"/>
        </w:rPr>
        <w:t xml:space="preserve"> </w:t>
      </w:r>
      <w:r>
        <w:rPr>
          <w:color w:val="000000" w:themeColor="text1"/>
          <w:spacing w:val="2"/>
        </w:rPr>
        <w:t>专项资金必须专款专用，任何组织或个人不得虚报、套取、冒领、贪污、挪用、截留。项目承担单位应依法主动接受财政、审计、监察、科技等部门的审计与监督。对违</w:t>
      </w:r>
      <w:r>
        <w:rPr>
          <w:color w:val="000000" w:themeColor="text1"/>
          <w:spacing w:val="2"/>
        </w:rPr>
        <w:lastRenderedPageBreak/>
        <w:t>规使用专项资金的，科技局按照有关规定采取责令整改、约谈、取消验收评价项目评优资格、验收评价不合格、退回项目结余资金、限制项目申报资格、纳入科研诚信记录管理等措施，涉嫌违规违纪违法的，移送有关机关处理。</w:t>
      </w:r>
    </w:p>
    <w:p w14:paraId="5E9199B1"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第三十五条</w:t>
      </w:r>
      <w:r>
        <w:rPr>
          <w:color w:val="000000" w:themeColor="text1"/>
          <w:spacing w:val="2"/>
        </w:rPr>
        <w:t xml:space="preserve"> </w:t>
      </w:r>
      <w:r>
        <w:rPr>
          <w:color w:val="000000" w:themeColor="text1"/>
          <w:spacing w:val="2"/>
        </w:rPr>
        <w:t>相关单位和个人在专项资金管理使用中存在弄虚作假、挤占挪用、套取骗取等违法违规行为的，按照《中华人民共和国预算法》及其实施条例、《中华人民共和国公职人员政务处分法》《财政违法行为处罚处分条例》等法律法规处理。涉嫌犯罪的，移送有关机关处理。</w:t>
      </w:r>
    </w:p>
    <w:p w14:paraId="12C20926" w14:textId="77777777" w:rsidR="005F1C1D" w:rsidRDefault="005F1C1D">
      <w:pPr>
        <w:wordWrap w:val="0"/>
        <w:spacing w:line="576" w:lineRule="exact"/>
        <w:ind w:right="20" w:firstLine="620"/>
        <w:textAlignment w:val="baseline"/>
        <w:rPr>
          <w:color w:val="000000" w:themeColor="text1"/>
          <w:spacing w:val="2"/>
        </w:rPr>
      </w:pPr>
    </w:p>
    <w:p w14:paraId="38E5B539" w14:textId="77777777" w:rsidR="005F1C1D" w:rsidRDefault="00000000">
      <w:pPr>
        <w:wordWrap w:val="0"/>
        <w:spacing w:line="576" w:lineRule="exact"/>
        <w:ind w:right="20"/>
        <w:jc w:val="center"/>
        <w:textAlignment w:val="baseline"/>
        <w:rPr>
          <w:rFonts w:eastAsia="黑体"/>
          <w:color w:val="000000" w:themeColor="text1"/>
          <w:spacing w:val="2"/>
        </w:rPr>
      </w:pPr>
      <w:r>
        <w:rPr>
          <w:rFonts w:eastAsia="黑体"/>
          <w:color w:val="000000" w:themeColor="text1"/>
          <w:spacing w:val="2"/>
        </w:rPr>
        <w:t>第七章</w:t>
      </w:r>
      <w:r>
        <w:rPr>
          <w:rFonts w:eastAsia="黑体"/>
          <w:color w:val="000000" w:themeColor="text1"/>
          <w:spacing w:val="2"/>
        </w:rPr>
        <w:t xml:space="preserve">  </w:t>
      </w:r>
      <w:r>
        <w:rPr>
          <w:rFonts w:eastAsia="黑体"/>
          <w:color w:val="000000" w:themeColor="text1"/>
          <w:spacing w:val="2"/>
        </w:rPr>
        <w:t>附则</w:t>
      </w:r>
    </w:p>
    <w:p w14:paraId="5F660AF2" w14:textId="77777777" w:rsidR="005F1C1D" w:rsidRDefault="00000000">
      <w:pPr>
        <w:wordWrap w:val="0"/>
        <w:spacing w:line="576" w:lineRule="exact"/>
        <w:ind w:right="20" w:firstLine="620"/>
        <w:textAlignment w:val="baseline"/>
        <w:rPr>
          <w:color w:val="000000" w:themeColor="text1"/>
          <w:spacing w:val="2"/>
        </w:rPr>
      </w:pPr>
      <w:r>
        <w:rPr>
          <w:rFonts w:eastAsia="国标黑体"/>
          <w:bCs/>
          <w:color w:val="000000" w:themeColor="text1"/>
          <w:kern w:val="44"/>
        </w:rPr>
        <w:t>第三十六条</w:t>
      </w:r>
      <w:r>
        <w:rPr>
          <w:color w:val="000000" w:themeColor="text1"/>
          <w:spacing w:val="2"/>
        </w:rPr>
        <w:t xml:space="preserve"> </w:t>
      </w:r>
      <w:r>
        <w:rPr>
          <w:color w:val="000000" w:themeColor="text1"/>
          <w:spacing w:val="2"/>
        </w:rPr>
        <w:t>本办法由市</w:t>
      </w:r>
      <w:r>
        <w:rPr>
          <w:rFonts w:hint="eastAsia"/>
          <w:color w:val="000000" w:themeColor="text1"/>
          <w:spacing w:val="2"/>
        </w:rPr>
        <w:t>科技</w:t>
      </w:r>
      <w:r>
        <w:rPr>
          <w:color w:val="000000" w:themeColor="text1"/>
          <w:spacing w:val="2"/>
        </w:rPr>
        <w:t>局、市</w:t>
      </w:r>
      <w:r>
        <w:rPr>
          <w:rFonts w:hint="eastAsia"/>
          <w:color w:val="000000" w:themeColor="text1"/>
          <w:spacing w:val="2"/>
        </w:rPr>
        <w:t>财政</w:t>
      </w:r>
      <w:r>
        <w:rPr>
          <w:color w:val="000000" w:themeColor="text1"/>
          <w:spacing w:val="2"/>
        </w:rPr>
        <w:t>局负责解释。</w:t>
      </w:r>
    </w:p>
    <w:p w14:paraId="68BECB71" w14:textId="77777777" w:rsidR="005F1C1D" w:rsidRDefault="00000000">
      <w:pPr>
        <w:wordWrap w:val="0"/>
        <w:spacing w:line="576" w:lineRule="exact"/>
        <w:ind w:firstLine="618"/>
        <w:textAlignment w:val="baseline"/>
        <w:rPr>
          <w:color w:val="000000" w:themeColor="text1"/>
          <w:w w:val="95"/>
        </w:rPr>
      </w:pPr>
      <w:r>
        <w:rPr>
          <w:rFonts w:eastAsia="国标黑体"/>
          <w:bCs/>
          <w:color w:val="000000" w:themeColor="text1"/>
          <w:kern w:val="44"/>
        </w:rPr>
        <w:t>第三十七条</w:t>
      </w:r>
      <w:r>
        <w:rPr>
          <w:color w:val="000000" w:themeColor="text1"/>
          <w:spacing w:val="2"/>
        </w:rPr>
        <w:t xml:space="preserve"> </w:t>
      </w:r>
      <w:r>
        <w:rPr>
          <w:color w:val="000000" w:themeColor="text1"/>
          <w:w w:val="95"/>
        </w:rPr>
        <w:t>本办法自</w:t>
      </w:r>
      <w:r>
        <w:rPr>
          <w:color w:val="000000" w:themeColor="text1"/>
          <w:w w:val="95"/>
        </w:rPr>
        <w:t>2026</w:t>
      </w:r>
      <w:r>
        <w:rPr>
          <w:color w:val="000000" w:themeColor="text1"/>
          <w:w w:val="95"/>
        </w:rPr>
        <w:t>年</w:t>
      </w:r>
      <w:r>
        <w:rPr>
          <w:rFonts w:hint="eastAsia"/>
          <w:color w:val="000000" w:themeColor="text1"/>
          <w:w w:val="95"/>
        </w:rPr>
        <w:t>6</w:t>
      </w:r>
      <w:r>
        <w:rPr>
          <w:color w:val="000000" w:themeColor="text1"/>
          <w:w w:val="95"/>
        </w:rPr>
        <w:t>月</w:t>
      </w:r>
      <w:r>
        <w:rPr>
          <w:rFonts w:hint="eastAsia"/>
          <w:color w:val="000000" w:themeColor="text1"/>
          <w:w w:val="95"/>
        </w:rPr>
        <w:t>10</w:t>
      </w:r>
      <w:r>
        <w:rPr>
          <w:color w:val="000000" w:themeColor="text1"/>
          <w:w w:val="95"/>
        </w:rPr>
        <w:t>日起施行，有效期</w:t>
      </w:r>
      <w:r>
        <w:rPr>
          <w:color w:val="000000" w:themeColor="text1"/>
          <w:w w:val="95"/>
        </w:rPr>
        <w:t>5</w:t>
      </w:r>
      <w:r>
        <w:rPr>
          <w:color w:val="000000" w:themeColor="text1"/>
          <w:w w:val="95"/>
        </w:rPr>
        <w:t>年。</w:t>
      </w:r>
    </w:p>
    <w:p w14:paraId="7A8F8C9B" w14:textId="77777777" w:rsidR="005F1C1D" w:rsidRDefault="005F1C1D">
      <w:pPr>
        <w:overflowPunct w:val="0"/>
        <w:spacing w:line="580" w:lineRule="exact"/>
        <w:jc w:val="center"/>
        <w:rPr>
          <w:rFonts w:eastAsia="方正小标宋_GBK"/>
          <w:sz w:val="44"/>
          <w:szCs w:val="44"/>
        </w:rPr>
      </w:pPr>
    </w:p>
    <w:p w14:paraId="70121F5A" w14:textId="77777777" w:rsidR="005F1C1D" w:rsidRDefault="005F1C1D">
      <w:pPr>
        <w:overflowPunct w:val="0"/>
        <w:spacing w:line="580" w:lineRule="exact"/>
        <w:jc w:val="center"/>
        <w:rPr>
          <w:rFonts w:eastAsia="方正小标宋_GBK"/>
          <w:sz w:val="44"/>
          <w:szCs w:val="44"/>
        </w:rPr>
      </w:pPr>
    </w:p>
    <w:p w14:paraId="0249A215" w14:textId="77777777" w:rsidR="005F1C1D" w:rsidRDefault="005F1C1D">
      <w:pPr>
        <w:overflowPunct w:val="0"/>
        <w:spacing w:line="580" w:lineRule="exact"/>
        <w:jc w:val="center"/>
        <w:rPr>
          <w:rFonts w:eastAsia="方正小标宋_GBK"/>
          <w:sz w:val="44"/>
          <w:szCs w:val="44"/>
        </w:rPr>
      </w:pPr>
    </w:p>
    <w:p w14:paraId="5DDB9FC6" w14:textId="77777777" w:rsidR="005F1C1D" w:rsidRDefault="005F1C1D">
      <w:pPr>
        <w:overflowPunct w:val="0"/>
        <w:spacing w:line="580" w:lineRule="exact"/>
        <w:jc w:val="center"/>
        <w:rPr>
          <w:rFonts w:eastAsia="方正小标宋_GBK"/>
          <w:sz w:val="44"/>
          <w:szCs w:val="44"/>
        </w:rPr>
      </w:pPr>
    </w:p>
    <w:p w14:paraId="4D8D45D9" w14:textId="77777777" w:rsidR="005F1C1D" w:rsidRDefault="005F1C1D">
      <w:pPr>
        <w:overflowPunct w:val="0"/>
        <w:spacing w:line="580" w:lineRule="exact"/>
        <w:jc w:val="center"/>
        <w:rPr>
          <w:rFonts w:eastAsia="方正小标宋_GBK"/>
          <w:sz w:val="44"/>
          <w:szCs w:val="44"/>
        </w:rPr>
      </w:pPr>
    </w:p>
    <w:p w14:paraId="3FBD7B49" w14:textId="77777777" w:rsidR="005F1C1D" w:rsidRDefault="005F1C1D">
      <w:pPr>
        <w:overflowPunct w:val="0"/>
        <w:spacing w:line="580" w:lineRule="exact"/>
        <w:jc w:val="center"/>
        <w:rPr>
          <w:rFonts w:eastAsia="方正小标宋_GBK"/>
          <w:sz w:val="44"/>
          <w:szCs w:val="44"/>
        </w:rPr>
      </w:pPr>
    </w:p>
    <w:p w14:paraId="632F771C" w14:textId="77777777" w:rsidR="005F1C1D" w:rsidRDefault="005F1C1D">
      <w:pPr>
        <w:overflowPunct w:val="0"/>
        <w:spacing w:line="580" w:lineRule="exact"/>
        <w:jc w:val="center"/>
        <w:rPr>
          <w:rFonts w:eastAsia="方正小标宋_GBK"/>
          <w:sz w:val="44"/>
          <w:szCs w:val="44"/>
        </w:rPr>
      </w:pPr>
    </w:p>
    <w:p w14:paraId="2EF953FA" w14:textId="77777777" w:rsidR="005F1C1D" w:rsidRDefault="005F1C1D">
      <w:pPr>
        <w:overflowPunct w:val="0"/>
        <w:spacing w:line="580" w:lineRule="exact"/>
        <w:jc w:val="center"/>
        <w:rPr>
          <w:rFonts w:eastAsia="方正小标宋_GBK"/>
          <w:sz w:val="44"/>
          <w:szCs w:val="44"/>
        </w:rPr>
      </w:pPr>
    </w:p>
    <w:p w14:paraId="2E175964" w14:textId="77777777" w:rsidR="005F1C1D" w:rsidRDefault="005F1C1D">
      <w:pPr>
        <w:pStyle w:val="20"/>
        <w:rPr>
          <w:rFonts w:ascii="Times New Roman" w:hAnsi="Times New Roman"/>
        </w:rPr>
      </w:pPr>
    </w:p>
    <w:p w14:paraId="50CD1450" w14:textId="77777777" w:rsidR="005F1C1D" w:rsidRDefault="005F1C1D"/>
    <w:p w14:paraId="669129BC" w14:textId="77777777" w:rsidR="005F1C1D" w:rsidRDefault="005F1C1D">
      <w:pPr>
        <w:pStyle w:val="20"/>
        <w:rPr>
          <w:rFonts w:ascii="Times New Roman" w:hAnsi="Times New Roman"/>
        </w:rPr>
      </w:pPr>
    </w:p>
    <w:p w14:paraId="69FB07FB" w14:textId="77777777" w:rsidR="005F1C1D" w:rsidRDefault="005F1C1D"/>
    <w:p w14:paraId="5E6E1D98" w14:textId="77777777" w:rsidR="005F1C1D" w:rsidRDefault="005F1C1D">
      <w:pPr>
        <w:pStyle w:val="20"/>
        <w:rPr>
          <w:rFonts w:ascii="Times New Roman" w:hAnsi="Times New Roman"/>
        </w:rPr>
      </w:pPr>
    </w:p>
    <w:p w14:paraId="41724243" w14:textId="77777777" w:rsidR="005F1C1D" w:rsidRDefault="005F1C1D"/>
    <w:p w14:paraId="5764C959" w14:textId="77777777" w:rsidR="005F1C1D" w:rsidRDefault="005F1C1D">
      <w:pPr>
        <w:pStyle w:val="20"/>
        <w:rPr>
          <w:rFonts w:ascii="Times New Roman" w:hAnsi="Times New Roman"/>
        </w:rPr>
      </w:pPr>
    </w:p>
    <w:p w14:paraId="508D4056" w14:textId="77777777" w:rsidR="005F1C1D" w:rsidRDefault="005F1C1D"/>
    <w:p w14:paraId="55E9F763" w14:textId="77777777" w:rsidR="005F1C1D" w:rsidRDefault="005F1C1D">
      <w:pPr>
        <w:pStyle w:val="20"/>
        <w:rPr>
          <w:rFonts w:ascii="Times New Roman" w:hAnsi="Times New Roman"/>
        </w:rPr>
      </w:pPr>
    </w:p>
    <w:p w14:paraId="0BC46A22" w14:textId="77777777" w:rsidR="005F1C1D" w:rsidRDefault="005F1C1D"/>
    <w:p w14:paraId="092853AD" w14:textId="77777777" w:rsidR="005F1C1D" w:rsidRDefault="005F1C1D">
      <w:pPr>
        <w:pStyle w:val="20"/>
        <w:rPr>
          <w:rFonts w:ascii="Times New Roman" w:hAnsi="Times New Roman"/>
        </w:rPr>
      </w:pPr>
    </w:p>
    <w:p w14:paraId="6B1EC599" w14:textId="77777777" w:rsidR="005F1C1D" w:rsidRDefault="005F1C1D"/>
    <w:p w14:paraId="168F6FCD" w14:textId="77777777" w:rsidR="005F1C1D" w:rsidRDefault="005F1C1D">
      <w:pPr>
        <w:spacing w:line="560" w:lineRule="exact"/>
        <w:rPr>
          <w:rFonts w:eastAsia="黑体"/>
        </w:rPr>
      </w:pPr>
      <w:bookmarkStart w:id="0" w:name="OLE_LINK10"/>
      <w:bookmarkStart w:id="1" w:name="OLE_LINK4"/>
      <w:bookmarkStart w:id="2" w:name="OLE_LINK11"/>
      <w:bookmarkStart w:id="3" w:name="OLE_LINK3"/>
    </w:p>
    <w:p w14:paraId="17C0D0A2" w14:textId="77777777" w:rsidR="005F1C1D" w:rsidRDefault="005F1C1D">
      <w:pPr>
        <w:pStyle w:val="20"/>
        <w:rPr>
          <w:rFonts w:ascii="Times New Roman" w:hAnsi="Times New Roman"/>
        </w:rPr>
      </w:pPr>
    </w:p>
    <w:p w14:paraId="5B10A36D" w14:textId="77777777" w:rsidR="005F1C1D" w:rsidRDefault="005F1C1D"/>
    <w:p w14:paraId="285A7EDD" w14:textId="77777777" w:rsidR="005F1C1D" w:rsidRDefault="005F1C1D">
      <w:pPr>
        <w:pStyle w:val="20"/>
        <w:rPr>
          <w:rFonts w:ascii="Times New Roman" w:hAnsi="Times New Roman"/>
        </w:rPr>
      </w:pPr>
    </w:p>
    <w:p w14:paraId="32C1BE33" w14:textId="77777777" w:rsidR="005F1C1D" w:rsidRDefault="005F1C1D"/>
    <w:p w14:paraId="4DAA832B" w14:textId="77777777" w:rsidR="005F1C1D" w:rsidRDefault="005F1C1D">
      <w:pPr>
        <w:pStyle w:val="20"/>
        <w:rPr>
          <w:rFonts w:ascii="Times New Roman" w:hAnsi="Times New Roman"/>
        </w:rPr>
      </w:pPr>
    </w:p>
    <w:p w14:paraId="2176DDE4" w14:textId="77777777" w:rsidR="005F1C1D" w:rsidRDefault="005F1C1D">
      <w:pPr>
        <w:spacing w:line="240" w:lineRule="exact"/>
      </w:pPr>
    </w:p>
    <w:p w14:paraId="682B426D" w14:textId="77777777" w:rsidR="005F1C1D" w:rsidRDefault="005F1C1D">
      <w:pPr>
        <w:pStyle w:val="20"/>
        <w:spacing w:line="240" w:lineRule="exact"/>
        <w:rPr>
          <w:rFonts w:ascii="Times New Roman" w:hAnsi="Times New Roman"/>
        </w:rPr>
      </w:pPr>
    </w:p>
    <w:p w14:paraId="5EA03E31" w14:textId="77777777" w:rsidR="005F1C1D" w:rsidRDefault="005F1C1D">
      <w:pPr>
        <w:pStyle w:val="20"/>
        <w:spacing w:line="240" w:lineRule="exact"/>
        <w:rPr>
          <w:rFonts w:ascii="Times New Roman" w:hAnsi="Times New Roman"/>
        </w:rPr>
      </w:pPr>
    </w:p>
    <w:p w14:paraId="447EBB89" w14:textId="77777777" w:rsidR="005F1C1D" w:rsidRDefault="005F1C1D"/>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0"/>
      </w:tblGrid>
      <w:tr w:rsidR="005F1C1D" w14:paraId="489052F4" w14:textId="77777777">
        <w:tc>
          <w:tcPr>
            <w:tcW w:w="8890" w:type="dxa"/>
            <w:tcBorders>
              <w:left w:val="nil"/>
              <w:right w:val="nil"/>
            </w:tcBorders>
          </w:tcPr>
          <w:p w14:paraId="4CED5986" w14:textId="77777777" w:rsidR="005F1C1D" w:rsidRDefault="00000000">
            <w:pPr>
              <w:spacing w:line="560" w:lineRule="exact"/>
              <w:ind w:firstLineChars="49" w:firstLine="137"/>
              <w:rPr>
                <w:sz w:val="28"/>
                <w:szCs w:val="28"/>
              </w:rPr>
            </w:pPr>
            <w:r>
              <w:rPr>
                <w:sz w:val="28"/>
                <w:szCs w:val="28"/>
              </w:rPr>
              <w:t>绵阳市科学技术局办公室</w:t>
            </w:r>
            <w:r>
              <w:rPr>
                <w:sz w:val="28"/>
                <w:szCs w:val="28"/>
              </w:rPr>
              <w:t xml:space="preserve">                    2026</w:t>
            </w:r>
            <w:r>
              <w:rPr>
                <w:sz w:val="28"/>
                <w:szCs w:val="28"/>
              </w:rPr>
              <w:t>年</w:t>
            </w:r>
            <w:r>
              <w:rPr>
                <w:rFonts w:hint="eastAsia"/>
                <w:sz w:val="28"/>
                <w:szCs w:val="28"/>
              </w:rPr>
              <w:t>6</w:t>
            </w:r>
            <w:r>
              <w:rPr>
                <w:sz w:val="28"/>
                <w:szCs w:val="28"/>
              </w:rPr>
              <w:t>月</w:t>
            </w:r>
            <w:r>
              <w:rPr>
                <w:rFonts w:hint="eastAsia"/>
                <w:sz w:val="28"/>
                <w:szCs w:val="28"/>
              </w:rPr>
              <w:t>10</w:t>
            </w:r>
            <w:r>
              <w:rPr>
                <w:sz w:val="28"/>
                <w:szCs w:val="28"/>
              </w:rPr>
              <w:t>日印发</w:t>
            </w:r>
          </w:p>
        </w:tc>
      </w:tr>
      <w:bookmarkEnd w:id="0"/>
      <w:bookmarkEnd w:id="1"/>
      <w:bookmarkEnd w:id="2"/>
      <w:bookmarkEnd w:id="3"/>
    </w:tbl>
    <w:p w14:paraId="63CB3C58" w14:textId="77777777" w:rsidR="005F1C1D" w:rsidRDefault="005F1C1D">
      <w:pPr>
        <w:spacing w:line="240" w:lineRule="exact"/>
        <w:jc w:val="left"/>
        <w:rPr>
          <w:rFonts w:eastAsia="方正小标宋简体"/>
          <w:sz w:val="44"/>
          <w:szCs w:val="44"/>
        </w:rPr>
      </w:pPr>
    </w:p>
    <w:sectPr w:rsidR="005F1C1D">
      <w:footerReference w:type="even" r:id="rId7"/>
      <w:footerReference w:type="default" r:id="rId8"/>
      <w:pgSz w:w="11906" w:h="16838"/>
      <w:pgMar w:top="2098" w:right="1474" w:bottom="1984" w:left="1587" w:header="851" w:footer="15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8735" w14:textId="77777777" w:rsidR="00A83CA9" w:rsidRDefault="00A83CA9">
      <w:r>
        <w:separator/>
      </w:r>
    </w:p>
  </w:endnote>
  <w:endnote w:type="continuationSeparator" w:id="0">
    <w:p w14:paraId="37216ECD" w14:textId="77777777" w:rsidR="00A83CA9" w:rsidRDefault="00A8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CESI仿宋-GB2312">
    <w:altName w:val="微软雅黑"/>
    <w:charset w:val="86"/>
    <w:family w:val="auto"/>
    <w:pitch w:val="default"/>
    <w:sig w:usb0="00000000" w:usb1="00000000" w:usb2="00000010" w:usb3="00000000" w:csb0="0004000F" w:csb1="00000000"/>
  </w:font>
  <w:font w:name="国标黑体">
    <w:altName w:val="微软雅黑"/>
    <w:charset w:val="86"/>
    <w:family w:val="auto"/>
    <w:pitch w:val="default"/>
    <w:sig w:usb0="00000001" w:usb1="08000000" w:usb2="00000000" w:usb3="00000000" w:csb0="00040000" w:csb1="00000000"/>
  </w:font>
  <w:font w:name="方正小标宋_GBK">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511874"/>
    </w:sdtPr>
    <w:sdtContent>
      <w:p w14:paraId="5D7220DE" w14:textId="77777777" w:rsidR="005F1C1D" w:rsidRDefault="00000000">
        <w:pPr>
          <w:pStyle w:val="a6"/>
          <w:ind w:firstLineChars="100" w:firstLine="180"/>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2</w:t>
        </w:r>
        <w:r>
          <w:rPr>
            <w:rFonts w:asciiTheme="minorEastAsia" w:eastAsiaTheme="minorEastAsia" w:hAnsiTheme="minorEastAsia"/>
            <w:sz w:val="24"/>
            <w:szCs w:val="24"/>
          </w:rPr>
          <w:fldChar w:fldCharType="end"/>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50C1" w14:textId="77777777" w:rsidR="005F1C1D" w:rsidRDefault="00000000">
    <w:pPr>
      <w:pStyle w:val="a6"/>
      <w:ind w:right="480"/>
      <w:jc w:val="righ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w:t>
    </w:r>
    <w:sdt>
      <w:sdtPr>
        <w:rPr>
          <w:rFonts w:asciiTheme="minorEastAsia" w:eastAsiaTheme="minorEastAsia" w:hAnsiTheme="minorEastAsia"/>
          <w:sz w:val="24"/>
          <w:szCs w:val="24"/>
        </w:rPr>
        <w:id w:val="1270663465"/>
      </w:sdtPr>
      <w:sdtContent>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1</w:t>
        </w:r>
        <w:r>
          <w:rPr>
            <w:rFonts w:asciiTheme="minorEastAsia" w:eastAsiaTheme="minorEastAsia" w:hAnsiTheme="minorEastAsia"/>
            <w:sz w:val="24"/>
            <w:szCs w:val="24"/>
          </w:rPr>
          <w:fldChar w:fldCharType="end"/>
        </w:r>
        <w:r>
          <w:rPr>
            <w:rFonts w:asciiTheme="minorEastAsia" w:eastAsiaTheme="minorEastAsia" w:hAnsiTheme="minorEastAsia" w:hint="eastAsia"/>
            <w:sz w:val="24"/>
            <w:szCs w:val="24"/>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482F" w14:textId="77777777" w:rsidR="00A83CA9" w:rsidRDefault="00A83CA9">
      <w:r>
        <w:separator/>
      </w:r>
    </w:p>
  </w:footnote>
  <w:footnote w:type="continuationSeparator" w:id="0">
    <w:p w14:paraId="57FB3697" w14:textId="77777777" w:rsidR="00A83CA9" w:rsidRDefault="00A83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grammar="clean"/>
  <w:defaultTabStop w:val="420"/>
  <w:evenAndOddHeaders/>
  <w:drawingGridHorizontalSpacing w:val="289"/>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B76251"/>
    <w:rsid w:val="FF939CBC"/>
    <w:rsid w:val="FF9FED96"/>
    <w:rsid w:val="FFDCC486"/>
    <w:rsid w:val="FFF5643D"/>
    <w:rsid w:val="FFFEB9DE"/>
    <w:rsid w:val="00106C46"/>
    <w:rsid w:val="004A0D0D"/>
    <w:rsid w:val="004E6711"/>
    <w:rsid w:val="00544B5D"/>
    <w:rsid w:val="005F1C1D"/>
    <w:rsid w:val="00702667"/>
    <w:rsid w:val="007926F4"/>
    <w:rsid w:val="007C0E2B"/>
    <w:rsid w:val="00A70041"/>
    <w:rsid w:val="00A83CA9"/>
    <w:rsid w:val="00B44F46"/>
    <w:rsid w:val="00D916C7"/>
    <w:rsid w:val="00DE43BF"/>
    <w:rsid w:val="00E10FC9"/>
    <w:rsid w:val="00F77746"/>
    <w:rsid w:val="0AFBD2DA"/>
    <w:rsid w:val="1BAB8AFC"/>
    <w:rsid w:val="1EFD0B3A"/>
    <w:rsid w:val="26AF9B12"/>
    <w:rsid w:val="31F390F8"/>
    <w:rsid w:val="33DBF85F"/>
    <w:rsid w:val="372BF0FC"/>
    <w:rsid w:val="399BD841"/>
    <w:rsid w:val="3DFB80E4"/>
    <w:rsid w:val="3EB56CA8"/>
    <w:rsid w:val="3FFA6D14"/>
    <w:rsid w:val="413698A0"/>
    <w:rsid w:val="4DFF4C69"/>
    <w:rsid w:val="4FF9191D"/>
    <w:rsid w:val="56AF7656"/>
    <w:rsid w:val="56FCF233"/>
    <w:rsid w:val="5B4532C8"/>
    <w:rsid w:val="5CB76251"/>
    <w:rsid w:val="5CFF7165"/>
    <w:rsid w:val="5EF275FE"/>
    <w:rsid w:val="5FFF301D"/>
    <w:rsid w:val="609D29C5"/>
    <w:rsid w:val="67BB696C"/>
    <w:rsid w:val="67EC1342"/>
    <w:rsid w:val="67F4AA83"/>
    <w:rsid w:val="6D4F2EAE"/>
    <w:rsid w:val="6EFFDDDC"/>
    <w:rsid w:val="6FDD79A3"/>
    <w:rsid w:val="70D30A29"/>
    <w:rsid w:val="72DA05FA"/>
    <w:rsid w:val="75FFBE8C"/>
    <w:rsid w:val="775FCA11"/>
    <w:rsid w:val="776F0E9C"/>
    <w:rsid w:val="778BB344"/>
    <w:rsid w:val="77AF1FCA"/>
    <w:rsid w:val="77DDFC2E"/>
    <w:rsid w:val="77EFDF5A"/>
    <w:rsid w:val="787E4F60"/>
    <w:rsid w:val="79445F59"/>
    <w:rsid w:val="799F7DA4"/>
    <w:rsid w:val="7CA68F7C"/>
    <w:rsid w:val="7D1F43C5"/>
    <w:rsid w:val="7D7F144E"/>
    <w:rsid w:val="7DB56F62"/>
    <w:rsid w:val="7DCFAC7E"/>
    <w:rsid w:val="7DDF61E7"/>
    <w:rsid w:val="7DF7315E"/>
    <w:rsid w:val="7DFF1122"/>
    <w:rsid w:val="7EFDAF8A"/>
    <w:rsid w:val="7EFE296F"/>
    <w:rsid w:val="7F379C39"/>
    <w:rsid w:val="7F5FED97"/>
    <w:rsid w:val="7F73D5A8"/>
    <w:rsid w:val="7F8C518D"/>
    <w:rsid w:val="7FBC3B9B"/>
    <w:rsid w:val="7FCFB1F5"/>
    <w:rsid w:val="7FDB4A22"/>
    <w:rsid w:val="7FEDA16E"/>
    <w:rsid w:val="7FFD57CB"/>
    <w:rsid w:val="92EEDC2E"/>
    <w:rsid w:val="9BEB85FC"/>
    <w:rsid w:val="9FF7302E"/>
    <w:rsid w:val="A6EF1B3C"/>
    <w:rsid w:val="AA59501C"/>
    <w:rsid w:val="ADBE40BB"/>
    <w:rsid w:val="AF77E409"/>
    <w:rsid w:val="AFBF054E"/>
    <w:rsid w:val="AFDF9967"/>
    <w:rsid w:val="AFFFD62C"/>
    <w:rsid w:val="B5E75F97"/>
    <w:rsid w:val="B6FF689A"/>
    <w:rsid w:val="B79B87C8"/>
    <w:rsid w:val="BB7BEBB9"/>
    <w:rsid w:val="BFF7F812"/>
    <w:rsid w:val="C68ECB33"/>
    <w:rsid w:val="C7FD99AD"/>
    <w:rsid w:val="CBDF587F"/>
    <w:rsid w:val="CEEE96EF"/>
    <w:rsid w:val="D59B65C8"/>
    <w:rsid w:val="D7FF7912"/>
    <w:rsid w:val="DA7D247A"/>
    <w:rsid w:val="DA9631FF"/>
    <w:rsid w:val="DA9B793C"/>
    <w:rsid w:val="DBEF6910"/>
    <w:rsid w:val="DE7F9FE8"/>
    <w:rsid w:val="DEFCEEEE"/>
    <w:rsid w:val="DFBFC654"/>
    <w:rsid w:val="DFD1DE4D"/>
    <w:rsid w:val="DFDF3580"/>
    <w:rsid w:val="DFF772FA"/>
    <w:rsid w:val="E4771898"/>
    <w:rsid w:val="E5CF3CE1"/>
    <w:rsid w:val="E77FE6A8"/>
    <w:rsid w:val="E7EFD56C"/>
    <w:rsid w:val="EAFF4CC9"/>
    <w:rsid w:val="EBB34AF6"/>
    <w:rsid w:val="EEC7B290"/>
    <w:rsid w:val="EFBD1139"/>
    <w:rsid w:val="EFEF78CB"/>
    <w:rsid w:val="F2B70364"/>
    <w:rsid w:val="F3BD4F2F"/>
    <w:rsid w:val="F3E6E572"/>
    <w:rsid w:val="F65374BF"/>
    <w:rsid w:val="F6F6A9D6"/>
    <w:rsid w:val="FB6E2547"/>
    <w:rsid w:val="FB77C0CA"/>
    <w:rsid w:val="FBD7D0DA"/>
    <w:rsid w:val="FC7F9FAC"/>
    <w:rsid w:val="FD5F1E3D"/>
    <w:rsid w:val="FD7F4336"/>
    <w:rsid w:val="FDBF8CCE"/>
    <w:rsid w:val="FDFDCFED"/>
    <w:rsid w:val="FE770E2F"/>
    <w:rsid w:val="FEFFC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CBDCF0A"/>
  <w15:docId w15:val="{8DB6F610-4747-4462-8BFB-56279191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Pr>
      <w:rFonts w:eastAsia="宋体"/>
    </w:rPr>
  </w:style>
  <w:style w:type="paragraph" w:styleId="a4">
    <w:name w:val="Body Text"/>
    <w:basedOn w:val="a"/>
    <w:next w:val="a"/>
    <w:qFormat/>
    <w:pPr>
      <w:ind w:left="876"/>
    </w:pPr>
    <w:rPr>
      <w:rFonts w:ascii="楷体_GB2312" w:eastAsia="楷体_GB2312"/>
      <w:sz w:val="24"/>
    </w:rPr>
  </w:style>
  <w:style w:type="paragraph" w:styleId="a5">
    <w:name w:val="Body Text Indent"/>
    <w:basedOn w:val="a"/>
    <w:next w:val="a6"/>
    <w:qFormat/>
    <w:pPr>
      <w:spacing w:after="120"/>
      <w:ind w:leftChars="200" w:left="200"/>
    </w:pPr>
    <w:rPr>
      <w:rFonts w:cs="Arial"/>
    </w:rPr>
  </w:style>
  <w:style w:type="paragraph" w:styleId="a6">
    <w:name w:val="footer"/>
    <w:basedOn w:val="a"/>
    <w:next w:val="a"/>
    <w:link w:val="a7"/>
    <w:uiPriority w:val="99"/>
    <w:qFormat/>
    <w:pPr>
      <w:tabs>
        <w:tab w:val="center" w:pos="4153"/>
        <w:tab w:val="right" w:pos="8306"/>
      </w:tabs>
      <w:snapToGrid w:val="0"/>
      <w:jc w:val="left"/>
    </w:pPr>
    <w:rPr>
      <w:sz w:val="18"/>
    </w:rPr>
  </w:style>
  <w:style w:type="paragraph" w:styleId="a8">
    <w:name w:val="Plain Text"/>
    <w:basedOn w:val="a"/>
    <w:qFormat/>
    <w:rPr>
      <w:rFonts w:ascii="宋体" w:eastAsia="仿宋" w:hAnsi="宋体" w:cs="Calibri"/>
      <w:szCs w:val="21"/>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100" w:beforeAutospacing="1" w:after="100" w:afterAutospacing="1"/>
      <w:jc w:val="left"/>
    </w:pPr>
    <w:rPr>
      <w:rFonts w:eastAsia="宋体"/>
      <w:kern w:val="0"/>
      <w:sz w:val="24"/>
    </w:rPr>
  </w:style>
  <w:style w:type="paragraph" w:styleId="2">
    <w:name w:val="Body Text First Indent 2"/>
    <w:basedOn w:val="a5"/>
    <w:next w:val="a8"/>
    <w:qFormat/>
    <w:pPr>
      <w:tabs>
        <w:tab w:val="left" w:pos="960"/>
      </w:tabs>
      <w:spacing w:line="540" w:lineRule="exact"/>
      <w:ind w:firstLineChars="200" w:firstLine="20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paragraph" w:customStyle="1" w:styleId="20">
    <w:name w:val="正文2"/>
    <w:basedOn w:val="a"/>
    <w:next w:val="a"/>
    <w:qFormat/>
    <w:rPr>
      <w:rFonts w:ascii="Calibri" w:hAnsi="Calibri"/>
      <w:szCs w:val="22"/>
    </w:rPr>
  </w:style>
  <w:style w:type="character" w:customStyle="1" w:styleId="a7">
    <w:name w:val="页脚 字符"/>
    <w:basedOn w:val="a0"/>
    <w:link w:val="a6"/>
    <w:uiPriority w:val="99"/>
    <w:qFormat/>
    <w:rPr>
      <w:rFonts w:ascii="Times New Roman" w:eastAsia="仿宋_GB2312" w:hAnsi="Times New Roman" w:cs="Times New Roman"/>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1121</Words>
  <Characters>6394</Characters>
  <Application>Microsoft Office Word</Application>
  <DocSecurity>0</DocSecurity>
  <Lines>53</Lines>
  <Paragraphs>14</Paragraphs>
  <ScaleCrop>false</ScaleCrop>
  <Company>Organization</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LJZX07</dc:creator>
  <cp:lastModifiedBy>YY Z</cp:lastModifiedBy>
  <cp:revision>2</cp:revision>
  <cp:lastPrinted>2026-06-10T14:09:00Z</cp:lastPrinted>
  <dcterms:created xsi:type="dcterms:W3CDTF">2026-06-16T07:31:00Z</dcterms:created>
  <dcterms:modified xsi:type="dcterms:W3CDTF">2026-06-16T07:31:00Z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747674B23132E635C406296AC454962B_43</vt:lpwstr>
  </property>
  <property fmtid="{D5CDD505-2E9C-101B-9397-08002B2CF9AE}" pid="4" name="KSOTemplateDocerSaveRecord">
    <vt:lpwstr>eyJoZGlkIjoiZjVkNDYyMjAzZGZhMzZjYjY3MzE2Y2Y2ZDA2ZGNmMjYiLCJ1c2VySWQiOiIxMTQyMzk4ODE1In0=</vt:lpwstr>
  </property>
</Properties>
</file>