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0B2" w:rsidRDefault="008920B2" w:rsidP="008920B2">
      <w:pPr>
        <w:rPr>
          <w:rFonts w:ascii="Times New Roman" w:eastAsia="方正仿宋简体" w:hAnsi="Times New Roman"/>
        </w:rPr>
      </w:pPr>
      <w:r>
        <w:rPr>
          <w:rFonts w:ascii="Times New Roman" w:eastAsia="方正小标宋简体" w:hAnsi="Times New Roman"/>
          <w:sz w:val="44"/>
          <w:szCs w:val="44"/>
        </w:rPr>
        <w:t>温江区</w:t>
      </w:r>
      <w:r>
        <w:rPr>
          <w:rFonts w:ascii="Times New Roman" w:eastAsia="方正小标宋简体" w:hAnsi="Times New Roman"/>
          <w:sz w:val="44"/>
          <w:szCs w:val="44"/>
        </w:rPr>
        <w:t>2026</w:t>
      </w:r>
      <w:r>
        <w:rPr>
          <w:rFonts w:ascii="Times New Roman" w:eastAsia="方正小标宋简体" w:hAnsi="Times New Roman"/>
          <w:sz w:val="44"/>
          <w:szCs w:val="44"/>
        </w:rPr>
        <w:t>年市级宜</w:t>
      </w:r>
      <w:proofErr w:type="gramStart"/>
      <w:r>
        <w:rPr>
          <w:rFonts w:ascii="Times New Roman" w:eastAsia="方正小标宋简体" w:hAnsi="Times New Roman"/>
          <w:sz w:val="44"/>
          <w:szCs w:val="44"/>
        </w:rPr>
        <w:t>居宜业</w:t>
      </w:r>
      <w:proofErr w:type="gramEnd"/>
      <w:r>
        <w:rPr>
          <w:rFonts w:ascii="Times New Roman" w:eastAsia="方正小标宋简体" w:hAnsi="Times New Roman"/>
          <w:sz w:val="44"/>
          <w:szCs w:val="44"/>
        </w:rPr>
        <w:t>和美乡村建设</w:t>
      </w:r>
      <w:proofErr w:type="gramStart"/>
      <w:r>
        <w:rPr>
          <w:rFonts w:ascii="Times New Roman" w:eastAsia="方正小标宋简体" w:hAnsi="Times New Roman"/>
          <w:sz w:val="44"/>
          <w:szCs w:val="44"/>
        </w:rPr>
        <w:t>奖补专项</w:t>
      </w:r>
      <w:proofErr w:type="gramEnd"/>
      <w:r>
        <w:rPr>
          <w:rFonts w:ascii="Times New Roman" w:eastAsia="方正小标宋简体" w:hAnsi="Times New Roman"/>
          <w:sz w:val="44"/>
          <w:szCs w:val="44"/>
        </w:rPr>
        <w:t>资金项目汇总表</w:t>
      </w:r>
    </w:p>
    <w:tbl>
      <w:tblPr>
        <w:tblpPr w:leftFromText="180" w:rightFromText="180" w:vertAnchor="text" w:horzAnchor="margin" w:tblpXSpec="center" w:tblpY="60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298"/>
        <w:gridCol w:w="1464"/>
        <w:gridCol w:w="1531"/>
        <w:gridCol w:w="3160"/>
        <w:gridCol w:w="1003"/>
        <w:gridCol w:w="1003"/>
        <w:gridCol w:w="1003"/>
        <w:gridCol w:w="1004"/>
        <w:gridCol w:w="2679"/>
      </w:tblGrid>
      <w:tr w:rsidR="008920B2" w:rsidTr="00D25214">
        <w:trPr>
          <w:trHeight w:val="1409"/>
        </w:trPr>
        <w:tc>
          <w:tcPr>
            <w:tcW w:w="638" w:type="dxa"/>
            <w:vAlign w:val="center"/>
          </w:tcPr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序号</w:t>
            </w:r>
          </w:p>
        </w:tc>
        <w:tc>
          <w:tcPr>
            <w:tcW w:w="1298" w:type="dxa"/>
            <w:vAlign w:val="center"/>
          </w:tcPr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项目名称</w:t>
            </w:r>
          </w:p>
        </w:tc>
        <w:tc>
          <w:tcPr>
            <w:tcW w:w="1464" w:type="dxa"/>
            <w:vAlign w:val="center"/>
          </w:tcPr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项目业主</w:t>
            </w:r>
          </w:p>
        </w:tc>
        <w:tc>
          <w:tcPr>
            <w:tcW w:w="1531" w:type="dxa"/>
            <w:vAlign w:val="center"/>
          </w:tcPr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项目地点</w:t>
            </w:r>
          </w:p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（明确到村内小组）</w:t>
            </w:r>
          </w:p>
        </w:tc>
        <w:tc>
          <w:tcPr>
            <w:tcW w:w="3160" w:type="dxa"/>
            <w:vAlign w:val="center"/>
          </w:tcPr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市级补助资金建设内容（逐项描述每个子项目情况）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总投资额（万元）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市级财政资金（万元）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县级财政资金（万元）</w:t>
            </w:r>
          </w:p>
        </w:tc>
        <w:tc>
          <w:tcPr>
            <w:tcW w:w="1004" w:type="dxa"/>
            <w:vAlign w:val="center"/>
          </w:tcPr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社会资金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（万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元）</w:t>
            </w:r>
          </w:p>
        </w:tc>
        <w:tc>
          <w:tcPr>
            <w:tcW w:w="2679" w:type="dxa"/>
            <w:vAlign w:val="center"/>
          </w:tcPr>
          <w:p w:rsidR="008920B2" w:rsidRDefault="008920B2" w:rsidP="008920B2">
            <w:pPr>
              <w:spacing w:line="2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该项目是否通过发改、</w:t>
            </w:r>
            <w:proofErr w:type="gramStart"/>
            <w:r>
              <w:rPr>
                <w:rFonts w:ascii="Times New Roman" w:eastAsia="黑体" w:hAnsi="Times New Roman"/>
                <w:sz w:val="24"/>
                <w:szCs w:val="24"/>
              </w:rPr>
              <w:t>规自等</w:t>
            </w:r>
            <w:proofErr w:type="gramEnd"/>
            <w:r>
              <w:rPr>
                <w:rFonts w:ascii="Times New Roman" w:eastAsia="黑体" w:hAnsi="Times New Roman"/>
                <w:sz w:val="24"/>
                <w:szCs w:val="24"/>
              </w:rPr>
              <w:t>部门的初步合</w:t>
            </w:r>
            <w:proofErr w:type="gramStart"/>
            <w:r>
              <w:rPr>
                <w:rFonts w:ascii="Times New Roman" w:eastAsia="黑体" w:hAnsi="Times New Roman"/>
                <w:sz w:val="24"/>
                <w:szCs w:val="24"/>
              </w:rPr>
              <w:t>规</w:t>
            </w:r>
            <w:proofErr w:type="gramEnd"/>
            <w:r>
              <w:rPr>
                <w:rFonts w:ascii="Times New Roman" w:eastAsia="黑体" w:hAnsi="Times New Roman"/>
                <w:sz w:val="24"/>
                <w:szCs w:val="24"/>
              </w:rPr>
              <w:t>性审核</w:t>
            </w:r>
          </w:p>
        </w:tc>
      </w:tr>
      <w:tr w:rsidR="008920B2" w:rsidTr="00D25214">
        <w:trPr>
          <w:trHeight w:val="1409"/>
        </w:trPr>
        <w:tc>
          <w:tcPr>
            <w:tcW w:w="63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温江区寿安镇新长青村2026年度市级宜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居宜业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和美乡村建设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奖补专项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资金项目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寿安镇新长青村村民委员会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寿安镇新长青村2、3、8组</w:t>
            </w:r>
          </w:p>
        </w:tc>
        <w:tc>
          <w:tcPr>
            <w:tcW w:w="3160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对辖区内约1.1公里道路进行改建，路面结构采用沥青面层与水泥稳定碎石基层相结合的形式。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4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79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该项目已通过镇自然资源工作组核实，土地利用计划符合相关规定，道路线型已避让周边拼地空间及耕地补充空间，未占用永久基本农田和耕地，不存在“非农化”“非粮化”问题。</w:t>
            </w:r>
          </w:p>
        </w:tc>
      </w:tr>
      <w:tr w:rsidR="008920B2" w:rsidTr="00D25214">
        <w:trPr>
          <w:trHeight w:val="1409"/>
        </w:trPr>
        <w:tc>
          <w:tcPr>
            <w:tcW w:w="63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温江区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寿安镇喻庙社区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2026年度市级宜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居宜业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和美乡村建设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奖补专项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资金项目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寿安镇喻庙社区居民委员会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寿安镇喻庙社区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6、7、14组</w:t>
            </w:r>
          </w:p>
        </w:tc>
        <w:tc>
          <w:tcPr>
            <w:tcW w:w="3160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1.对辖区内约1.4公里道路进行改建，改造工艺以水泥硬化路面为主，部分段面铺设沥青路面。2.计划对火星中心道路、污水处理厂路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天永路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汪苦路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等道路沿线安装太阳能路灯260盏，包括路灯基础施工、路灯安装调试、后期维护等相关工程。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4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79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该项目已通过镇自然资源工作组核实，土地利用计划符合相关规定，未占用永久基本农田和耕地，不存在“非农化”“非粮化”问题。</w:t>
            </w:r>
          </w:p>
        </w:tc>
      </w:tr>
      <w:tr w:rsidR="008920B2" w:rsidTr="00D25214">
        <w:trPr>
          <w:trHeight w:val="1409"/>
        </w:trPr>
        <w:tc>
          <w:tcPr>
            <w:tcW w:w="63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和盛镇兰亭社区2026年度市级宜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居宜业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和美乡村建设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奖补专项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资金项目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和盛镇兰亭社区居民委员会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和盛镇兰亭社区</w:t>
            </w:r>
          </w:p>
        </w:tc>
        <w:tc>
          <w:tcPr>
            <w:tcW w:w="3160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1、四支七斗渠道路修建(含四支七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斗渠道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路旁沟渠维修)长度540m、宽度4.5m，面积2430㎡;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br/>
              <w:t>2、兰亭18组与李义村连接道路修建(含兰亭18组与李义村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连接道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路旁沟渠维修)长度220m、宽度3.0m，面积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lastRenderedPageBreak/>
              <w:t>660m';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br/>
              <w:t>3、菜市场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到天乡路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三段道路修建，长度480m、宽度4.5m，面积 2160㎡。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4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9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是</w:t>
            </w:r>
          </w:p>
        </w:tc>
      </w:tr>
      <w:tr w:rsidR="008920B2" w:rsidTr="00D25214">
        <w:trPr>
          <w:trHeight w:val="1409"/>
        </w:trPr>
        <w:tc>
          <w:tcPr>
            <w:tcW w:w="63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永宁街道杏林社区2026年宜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居宜业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和美乡村建设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奖补专项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资金项目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永宁街道杏林社区居民委员会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永宁街道杏林社区8、19、20、21组</w:t>
            </w:r>
          </w:p>
        </w:tc>
        <w:tc>
          <w:tcPr>
            <w:tcW w:w="3160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（一）现状道路改造提升：惠古路等道路总长度约2270米（以施工图和实际建设为准），平均宽度3.5米，在原有混凝土路面上加铺沥青面层，面层采用4cm AC-13沥青面层+6cmAC-20封层沥青，涉及零星路基修补，在施工图和实际建设解决。该道路不涉及新建、扩建、改建。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br/>
              <w:t>（二）涵洞和道路排水改造：跨路圆涵管约10处（以实际建设为准），改善农毛渠灌溉条件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br/>
              <w:t>（三）人居环境提升：沿惠古路、古峰路对沿线居民院落实施风貌提升，主要涉及外墙翻新（作业面约4000㎡），和墙面氛围画（作业面约60㎡），改造景观节点1处。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165.6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4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2679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限额以下项目，由街道自行审查，已经由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金马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街道审查通过</w:t>
            </w:r>
          </w:p>
        </w:tc>
      </w:tr>
      <w:tr w:rsidR="008920B2" w:rsidTr="00D25214">
        <w:trPr>
          <w:trHeight w:val="1409"/>
        </w:trPr>
        <w:tc>
          <w:tcPr>
            <w:tcW w:w="63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万春镇鱼凫村2026年宜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居宜业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和美乡村建设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奖补专项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资金项目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万春镇鱼凫村村民委员会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鱼凫村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11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3160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项目位于成都市温江区万春镇鱼凫村，涉及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11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组，计划修缮提升的农渠总长约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4260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米，采用梯形断面，底宽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50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厘米、沟口宽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60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厘米、高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80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厘米、两侧压顶各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18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厘米、沟底厚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15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厘米。沟渠主体采用浆砌石，砌石厚度不低于</w:t>
            </w: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15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厘米。沟渠沿线根据地形和灌溉需求合理设置分水口、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节制闸及过路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涵管等配套设施，确保灌溉</w:t>
            </w: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lastRenderedPageBreak/>
              <w:t>用水调配便捷、排水通畅。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lastRenderedPageBreak/>
              <w:t>153.36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4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2679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是</w:t>
            </w:r>
          </w:p>
        </w:tc>
      </w:tr>
      <w:tr w:rsidR="008920B2" w:rsidTr="00D25214">
        <w:trPr>
          <w:trHeight w:val="1409"/>
        </w:trPr>
        <w:tc>
          <w:tcPr>
            <w:tcW w:w="63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温江区金马街道2026年度市级宜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居宜业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和美乡村建设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奖补专项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资金项目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金马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街道金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泉社区居民委员会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金马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街道金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泉社区13组</w:t>
            </w:r>
          </w:p>
        </w:tc>
        <w:tc>
          <w:tcPr>
            <w:tcW w:w="3160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项目占地面积约1500㎡，建设内容为入口处新建一个休闲健身广场，场地内新建三个羽毛球运动场、一个篮球场及12个乒乓球台，同时设置座椅看台，便于举办小型赛事活动。场地四周设置4米高的运动围网，安装智能储物、售卖及智慧售票出入口等无人智慧系统，为全民运动健身提供良好的活动环境。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3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4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9" w:type="dxa"/>
            <w:vAlign w:val="center"/>
          </w:tcPr>
          <w:p w:rsidR="008920B2" w:rsidRDefault="008920B2" w:rsidP="008920B2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是</w:t>
            </w:r>
          </w:p>
        </w:tc>
      </w:tr>
    </w:tbl>
    <w:p w:rsidR="008920B2" w:rsidRDefault="008920B2" w:rsidP="008920B2">
      <w:pPr>
        <w:rPr>
          <w:rFonts w:ascii="Times New Roman" w:hAnsi="Times New Roman"/>
        </w:rPr>
      </w:pPr>
    </w:p>
    <w:p w:rsidR="008920B2" w:rsidRDefault="008920B2" w:rsidP="008920B2">
      <w:pPr>
        <w:pStyle w:val="a7"/>
        <w:ind w:firstLine="632"/>
        <w:rPr>
          <w:rFonts w:ascii="Times New Roman" w:hAnsi="Times New Roman"/>
        </w:rPr>
      </w:pPr>
    </w:p>
    <w:p w:rsidR="008920B2" w:rsidRDefault="008920B2" w:rsidP="008920B2"/>
    <w:p w:rsidR="00367D6D" w:rsidRPr="00367D6D" w:rsidRDefault="00367D6D" w:rsidP="00367D6D"/>
    <w:sectPr w:rsidR="00367D6D" w:rsidRPr="00367D6D" w:rsidSect="008920B2">
      <w:footerReference w:type="even" r:id="rId6"/>
      <w:footerReference w:type="default" r:id="rId7"/>
      <w:pgSz w:w="16838" w:h="11906" w:orient="landscape" w:code="9"/>
      <w:pgMar w:top="1588" w:right="1812" w:bottom="1474" w:left="1985" w:header="851" w:footer="992" w:gutter="0"/>
      <w:pgNumType w:fmt="numberInDash"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325" w:rsidRDefault="007C0325" w:rsidP="00C23A1B">
      <w:r>
        <w:separator/>
      </w:r>
    </w:p>
  </w:endnote>
  <w:endnote w:type="continuationSeparator" w:id="0">
    <w:p w:rsidR="007C0325" w:rsidRDefault="007C0325" w:rsidP="00C2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301532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C23A1B" w:rsidRPr="00C23A1B" w:rsidRDefault="000348D3" w:rsidP="00C23A1B">
        <w:pPr>
          <w:pStyle w:val="a5"/>
          <w:rPr>
            <w:sz w:val="32"/>
          </w:rPr>
        </w:pPr>
        <w:r w:rsidRPr="00367D6D">
          <w:rPr>
            <w:rFonts w:ascii="方正仿宋简体" w:hint="eastAsia"/>
            <w:sz w:val="32"/>
          </w:rPr>
          <w:fldChar w:fldCharType="begin"/>
        </w:r>
        <w:r w:rsidR="00C23A1B" w:rsidRPr="00367D6D">
          <w:rPr>
            <w:rFonts w:ascii="方正仿宋简体" w:hint="eastAsia"/>
            <w:sz w:val="32"/>
          </w:rPr>
          <w:instrText>PAGE   \* MERGEFORMAT</w:instrText>
        </w:r>
        <w:r w:rsidRPr="00367D6D">
          <w:rPr>
            <w:rFonts w:ascii="方正仿宋简体" w:hint="eastAsia"/>
            <w:sz w:val="32"/>
          </w:rPr>
          <w:fldChar w:fldCharType="separate"/>
        </w:r>
        <w:r w:rsidR="00367D6D" w:rsidRPr="00367D6D">
          <w:rPr>
            <w:rFonts w:ascii="方正仿宋简体"/>
            <w:noProof/>
            <w:sz w:val="32"/>
            <w:lang w:val="zh-CN"/>
          </w:rPr>
          <w:t>-</w:t>
        </w:r>
        <w:r w:rsidR="00367D6D">
          <w:rPr>
            <w:rFonts w:ascii="方正仿宋简体"/>
            <w:noProof/>
            <w:sz w:val="32"/>
          </w:rPr>
          <w:t xml:space="preserve"> 2 -</w:t>
        </w:r>
        <w:r w:rsidRPr="00367D6D">
          <w:rPr>
            <w:rFonts w:ascii="方正仿宋简体" w:hint="eastAsia"/>
            <w:sz w:val="32"/>
          </w:rPr>
          <w:fldChar w:fldCharType="end"/>
        </w:r>
      </w:p>
    </w:sdtContent>
  </w:sdt>
  <w:p w:rsidR="00C23A1B" w:rsidRDefault="00C23A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方正仿宋简体" w:hint="eastAsia"/>
      </w:rPr>
      <w:id w:val="-54163373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C23A1B" w:rsidRPr="00367D6D" w:rsidRDefault="000348D3">
        <w:pPr>
          <w:pStyle w:val="a5"/>
          <w:jc w:val="right"/>
          <w:rPr>
            <w:rFonts w:ascii="方正仿宋简体"/>
            <w:sz w:val="32"/>
          </w:rPr>
        </w:pPr>
        <w:r w:rsidRPr="00367D6D">
          <w:rPr>
            <w:rFonts w:ascii="方正仿宋简体" w:hint="eastAsia"/>
            <w:sz w:val="32"/>
          </w:rPr>
          <w:fldChar w:fldCharType="begin"/>
        </w:r>
        <w:r w:rsidR="00C23A1B" w:rsidRPr="00367D6D">
          <w:rPr>
            <w:rFonts w:ascii="方正仿宋简体" w:hint="eastAsia"/>
            <w:sz w:val="32"/>
          </w:rPr>
          <w:instrText>PAGE   \* MERGEFORMAT</w:instrText>
        </w:r>
        <w:r w:rsidRPr="00367D6D">
          <w:rPr>
            <w:rFonts w:ascii="方正仿宋简体" w:hint="eastAsia"/>
            <w:sz w:val="32"/>
          </w:rPr>
          <w:fldChar w:fldCharType="separate"/>
        </w:r>
        <w:r w:rsidR="00B32609" w:rsidRPr="00B32609">
          <w:rPr>
            <w:rFonts w:ascii="方正仿宋简体"/>
            <w:noProof/>
            <w:sz w:val="32"/>
            <w:szCs w:val="32"/>
          </w:rPr>
          <w:t>- 1 -</w:t>
        </w:r>
        <w:r w:rsidRPr="00367D6D">
          <w:rPr>
            <w:rFonts w:ascii="方正仿宋简体" w:hint="eastAsia"/>
            <w:sz w:val="32"/>
          </w:rPr>
          <w:fldChar w:fldCharType="end"/>
        </w:r>
      </w:p>
    </w:sdtContent>
  </w:sdt>
  <w:p w:rsidR="00C23A1B" w:rsidRDefault="00C2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325" w:rsidRDefault="007C0325" w:rsidP="00C23A1B">
      <w:r>
        <w:separator/>
      </w:r>
    </w:p>
  </w:footnote>
  <w:footnote w:type="continuationSeparator" w:id="0">
    <w:p w:rsidR="007C0325" w:rsidRDefault="007C0325" w:rsidP="00C2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B2"/>
    <w:rsid w:val="000348D3"/>
    <w:rsid w:val="001323A4"/>
    <w:rsid w:val="00206D93"/>
    <w:rsid w:val="00367D6D"/>
    <w:rsid w:val="00494F2C"/>
    <w:rsid w:val="00604677"/>
    <w:rsid w:val="007C0325"/>
    <w:rsid w:val="008920B2"/>
    <w:rsid w:val="008B581A"/>
    <w:rsid w:val="0091606B"/>
    <w:rsid w:val="00AF1130"/>
    <w:rsid w:val="00B32609"/>
    <w:rsid w:val="00C23A1B"/>
    <w:rsid w:val="00CD6531"/>
    <w:rsid w:val="00E7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FEFF34-1000-4A39-863B-3EF11435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920B2"/>
    <w:pPr>
      <w:widowControl w:val="0"/>
      <w:jc w:val="both"/>
    </w:pPr>
    <w:rPr>
      <w:rFonts w:ascii="Calibri" w:eastAsia="方正仿宋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A1B"/>
    <w:rPr>
      <w:rFonts w:eastAsia="方正仿宋简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A1B"/>
    <w:rPr>
      <w:rFonts w:eastAsia="方正仿宋简体"/>
      <w:sz w:val="18"/>
      <w:szCs w:val="18"/>
    </w:rPr>
  </w:style>
  <w:style w:type="paragraph" w:styleId="a7">
    <w:name w:val="Normal Indent"/>
    <w:basedOn w:val="a"/>
    <w:next w:val="a"/>
    <w:qFormat/>
    <w:rsid w:val="008920B2"/>
    <w:pPr>
      <w:ind w:firstLineChars="200" w:firstLine="420"/>
    </w:pPr>
  </w:style>
  <w:style w:type="paragraph" w:styleId="a8">
    <w:name w:val="Body Text Indent"/>
    <w:basedOn w:val="a"/>
    <w:link w:val="a9"/>
    <w:uiPriority w:val="99"/>
    <w:semiHidden/>
    <w:unhideWhenUsed/>
    <w:rsid w:val="008920B2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8920B2"/>
    <w:rPr>
      <w:rFonts w:ascii="Calibri" w:eastAsia="方正仿宋" w:hAnsi="Calibri" w:cs="Times New Roman"/>
      <w:sz w:val="32"/>
      <w:szCs w:val="32"/>
    </w:rPr>
  </w:style>
  <w:style w:type="paragraph" w:styleId="2">
    <w:name w:val="Body Text First Indent 2"/>
    <w:basedOn w:val="a8"/>
    <w:link w:val="20"/>
    <w:uiPriority w:val="99"/>
    <w:semiHidden/>
    <w:unhideWhenUsed/>
    <w:rsid w:val="008920B2"/>
    <w:pPr>
      <w:ind w:firstLineChars="200" w:firstLine="420"/>
    </w:pPr>
  </w:style>
  <w:style w:type="character" w:customStyle="1" w:styleId="20">
    <w:name w:val="正文文本首行缩进 2 字符"/>
    <w:basedOn w:val="a9"/>
    <w:link w:val="2"/>
    <w:uiPriority w:val="99"/>
    <w:semiHidden/>
    <w:rsid w:val="008920B2"/>
    <w:rPr>
      <w:rFonts w:ascii="Calibri" w:eastAsia="方正仿宋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2026-06-16T08:15:00Z</dcterms:created>
  <dcterms:modified xsi:type="dcterms:W3CDTF">2026-06-16T08:16:00Z</dcterms:modified>
</cp:coreProperties>
</file>