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238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rtl w:val="0"/>
          <w:lang w:val="en-US" w:eastAsia="zh-CN"/>
        </w:rPr>
      </w:pPr>
    </w:p>
    <w:p w14:paraId="00C306A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rtl w:val="0"/>
          <w:lang w:val="en-US" w:eastAsia="zh-CN"/>
        </w:rPr>
      </w:pPr>
    </w:p>
    <w:p w14:paraId="7F61B3B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rtl w:val="0"/>
          <w:lang w:val="en-US" w:eastAsia="zh-CN"/>
        </w:rPr>
      </w:pPr>
    </w:p>
    <w:p w14:paraId="585924F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rtl w:val="0"/>
          <w:lang w:val="en-US" w:eastAsia="zh-CN"/>
        </w:rPr>
      </w:pPr>
    </w:p>
    <w:p w14:paraId="1F3EBF9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562D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086492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32"/>
        </w:rPr>
      </w:pPr>
    </w:p>
    <w:p w14:paraId="544E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川科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fill="FFFFFF"/>
          <w:lang w:val="en-US" w:eastAsia="zh-CN" w:bidi="ar"/>
        </w:rPr>
        <w:t>〔2026〕6号</w:t>
      </w:r>
    </w:p>
    <w:p w14:paraId="3E17C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32E12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四川省科学技术厅等5部门关于印发</w:t>
      </w:r>
    </w:p>
    <w:p w14:paraId="7E89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《四川省“十五五”享受科技创新进口税收</w:t>
      </w:r>
    </w:p>
    <w:p w14:paraId="29F51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政策的科研院所、转制科研院所和新型研发</w:t>
      </w:r>
    </w:p>
    <w:p w14:paraId="75B82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2"/>
          <w:sz w:val="44"/>
          <w:szCs w:val="44"/>
          <w:shd w:val="clear" w:color="auto" w:fill="FFFFFF"/>
          <w:lang w:val="en-US" w:eastAsia="zh-CN" w:bidi="ar-SA"/>
        </w:rPr>
        <w:t>机构名单核定办法》的通知</w:t>
      </w:r>
    </w:p>
    <w:p w14:paraId="0157931F">
      <w:pP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039F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各市（州）科技局、财政局、民政局，各隶属海关，国家税务总局各市（州）税务局，省直有关部门，有关单位：</w:t>
      </w:r>
    </w:p>
    <w:p w14:paraId="202BE7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等3部委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期间支持科技创新进口税收优惠政策的通知》（财关税〔2026〕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财政部等12部委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期间支持科技创新进口税收优惠政策管理办法的通知》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财关税〔2026〕8号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，科技厅、财政厅、民政厅、成都海关、四川省税务局研究制定了《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四川省“十五五”享受科技创新进口税收政策的科研院所、转制科研院所和新型研发机构名单核定办法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》，现印发给你们，请遵照执行。</w:t>
      </w:r>
    </w:p>
    <w:p w14:paraId="216D4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BBA76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E4ED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四川省科学技术厅               四川省财政厅</w:t>
      </w:r>
    </w:p>
    <w:p w14:paraId="355DD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6045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1A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819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B202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四川省民政厅             中华人民共和国成都海关</w:t>
      </w:r>
    </w:p>
    <w:p w14:paraId="3A61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2B41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3CC1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972D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9322BB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国家税务总局四川省税务局   </w:t>
      </w:r>
    </w:p>
    <w:p w14:paraId="2B9FF0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 xml:space="preserve">2026年5月29日     </w:t>
      </w:r>
    </w:p>
    <w:p w14:paraId="4149F4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9EC32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973FF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E1025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A8F4984">
      <w:pP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90648A3">
      <w:pPr>
        <w:pStyle w:val="2"/>
        <w:rPr>
          <w:rFonts w:hint="default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5F9AC6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四川省“十五五”享受科技创新</w:t>
      </w:r>
    </w:p>
    <w:p w14:paraId="2D583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进口税收政策的科研院所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转制科研院所</w:t>
      </w:r>
    </w:p>
    <w:p w14:paraId="2DBAAE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新型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研发机构名单核定办法</w:t>
      </w:r>
    </w:p>
    <w:p w14:paraId="268722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EB155E3">
      <w:pPr>
        <w:pStyle w:val="2"/>
        <w:rPr>
          <w:rFonts w:hint="default"/>
        </w:rPr>
      </w:pPr>
    </w:p>
    <w:p w14:paraId="5048B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第一章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总则</w:t>
      </w:r>
    </w:p>
    <w:p w14:paraId="07BB6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94D1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贯彻落实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等3部委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期间支持科技创新进口税收优惠政策的通知》（财关税〔2026〕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财政部等12部委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十五五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期间支持科技创新进口税收优惠政策管理办法的通知》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财关税〔2026〕8号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规范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我省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科研院所、转制科研院所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事业单位类新型研发机构、科技类民办非企业单位类新型研发机构享受科技创新进口税收政策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的名单核定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，制定本办法。</w:t>
      </w:r>
    </w:p>
    <w:p w14:paraId="2B61FB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4BA2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第二章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科研院所</w:t>
      </w:r>
    </w:p>
    <w:p w14:paraId="72BA6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9763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科研院所是指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由省、市（州）政府或部门、直属机构举办，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省、市（州）机构编制部门批复成立，主要从事科学研究工作的事业单位（包括科研院所所属具有独立法人资格的图书馆、研究生院）。</w:t>
      </w:r>
    </w:p>
    <w:p w14:paraId="68BEC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38ADD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编制部门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批准成立的文件（复印件）；</w:t>
      </w:r>
    </w:p>
    <w:p w14:paraId="302C8C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事业单位法人证书（复印件）；</w:t>
      </w:r>
    </w:p>
    <w:p w14:paraId="2DA69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单位章程（复印件）；</w:t>
      </w:r>
    </w:p>
    <w:p w14:paraId="7A798C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7372F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对现有符合条件的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省级、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市级科研院所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为简化流程，减轻申请单位负担，由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598B93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对新增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符合条件的省级、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市级科研院所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向主管部门提出申请，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审核通过后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7B9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2240" w:firstLineChars="7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AEAE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第三章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转制科研院所</w:t>
      </w:r>
    </w:p>
    <w:p w14:paraId="23588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19" w:leftChars="152" w:firstLine="2240" w:firstLineChars="7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529E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第五条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转制科研院所是指根据国务院办公厅《转发科技部等部门关于深化科研机构管理体制改革实施意见的通知》（国办发〔2000〕38号）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省委办公厅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四川省科研院所改革总体方案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深化科研院所改革试点推进方案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》（川委厅〔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2016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号）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等文件精神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，省政府或部门、直属机构所属科研机构已转制为企业或进入企业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主要从事科学研究和技术开发工作的机构。</w:t>
      </w:r>
    </w:p>
    <w:p w14:paraId="3919C8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第六条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074B2E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政府部门关于科研院所转制为企业的文件（复印件）；</w:t>
      </w:r>
    </w:p>
    <w:p w14:paraId="11226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企业营业执照副本（复印件）；</w:t>
      </w:r>
    </w:p>
    <w:p w14:paraId="366A4A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附件1）。</w:t>
      </w:r>
    </w:p>
    <w:p w14:paraId="7F711A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符合条件的转制科研院所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向主管部门提出申请，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核定。</w:t>
      </w:r>
    </w:p>
    <w:p w14:paraId="5102E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已纳入科技部《转制为企业的研究机构科技活动调查名录》的转制科研院所，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13C91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43F2C8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事业单位类新型研发机构</w:t>
      </w:r>
    </w:p>
    <w:p w14:paraId="1B8A1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22D5C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本办法所称事业单位类新型研发机构</w:t>
      </w:r>
      <w:r>
        <w:rPr>
          <w:rFonts w:hint="default" w:ascii="Times New Roman" w:hAnsi="Times New Roman" w:eastAsia="FangSong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是指由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县级以上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机构编制部门批复成立，主要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从事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科学研究、技术开发和科技成果转移转化，以及研发服务等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科技创新活动</w:t>
      </w:r>
      <w:r>
        <w:rPr>
          <w:rFonts w:hint="default" w:ascii="Times New Roman" w:hAnsi="Times New Roman" w:eastAsia="FangSong_GB2312" w:cs="Times New Roman"/>
          <w:sz w:val="32"/>
          <w:szCs w:val="24"/>
          <w:lang w:eastAsia="zh-CN"/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但区别于传统科研院所的</w:t>
      </w:r>
      <w:r>
        <w:rPr>
          <w:rFonts w:hint="default" w:ascii="Times New Roman" w:hAnsi="Times New Roman" w:eastAsia="FangSong_GB2312" w:cs="Times New Roman"/>
          <w:sz w:val="32"/>
          <w:szCs w:val="24"/>
          <w:lang w:val="en-US" w:eastAsia="zh-CN"/>
        </w:rPr>
        <w:t>事业单位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。</w:t>
      </w:r>
    </w:p>
    <w:p w14:paraId="7E0A6A6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享受科技创新进口税收政策的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事业单位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类新型研发机构，应同时符合以下条件：</w:t>
      </w:r>
    </w:p>
    <w:p w14:paraId="1B24BF1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1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具有独立法人资格，内控制度完善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58E0B9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2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主要开展基础研究、应用基础研究，产业共性关键技术研发、科技成果转移转化，以及研发服务等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397539C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3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拥有开展研发、试验、服务等所必需的条件和设施设备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1B62565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eastAsia="zh-CN"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4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具有结构相对合理稳定、研发能力较强的人才团队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02DE2D9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lang w:bidi="ar-SA"/>
        </w:rPr>
      </w:pP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eastAsia="zh-CN" w:bidi="ar-SA"/>
        </w:rPr>
        <w:t>5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spacing w:val="0"/>
          <w:kern w:val="2"/>
          <w:sz w:val="32"/>
          <w:szCs w:val="24"/>
          <w:shd w:val="clear"/>
          <w:lang w:val="en-US" w:eastAsia="zh-CN" w:bidi="ar-SA"/>
        </w:rPr>
        <w:t>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具有相对稳定的收入来源，主要包括出资方投入，技术开发、技术转让、技术服务、技术咨询收入，政府购买服务收入等。</w:t>
      </w:r>
    </w:p>
    <w:p w14:paraId="41442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申请单位应提交以下申请材料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一式四份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3AD26A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机构</w:t>
      </w: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t>编制部门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批准成立的文件（复印件）；</w:t>
      </w:r>
    </w:p>
    <w:p w14:paraId="334F2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事业单位法人证书（复印件）；</w:t>
      </w:r>
    </w:p>
    <w:p w14:paraId="73BCB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单位章程和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内控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制度（复印件）；</w:t>
      </w:r>
    </w:p>
    <w:p w14:paraId="60544C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6AA56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5.开展研发、试验、服务等所必须的科研设施设备情况；</w:t>
      </w:r>
    </w:p>
    <w:p w14:paraId="3C7A7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结构相对合理稳定、研发能力较强的人才团队</w:t>
      </w:r>
      <w:r>
        <w:rPr>
          <w:rFonts w:hint="eastAsia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val="en-US" w:eastAsia="zh-CN" w:bidi="ar-SA"/>
        </w:rPr>
        <w:t>情况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eastAsia="zh-CN" w:bidi="ar-SA"/>
        </w:rPr>
        <w:t>；</w:t>
      </w:r>
    </w:p>
    <w:p w14:paraId="17C56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FangSong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相对稳定的收入来源</w:t>
      </w:r>
      <w:r>
        <w:rPr>
          <w:rFonts w:hint="eastAsia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val="en-US" w:eastAsia="zh-CN" w:bidi="ar-SA"/>
        </w:rPr>
        <w:t>情况。</w:t>
      </w:r>
    </w:p>
    <w:p w14:paraId="4D05E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事业单位类新型研发机构，向主管部门提出申请，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核定。</w:t>
      </w:r>
    </w:p>
    <w:p w14:paraId="5929CE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根据《四川省新型研发机构建设管理办法》（川科政</w:t>
      </w:r>
      <w:r>
        <w:rPr>
          <w:rFonts w:hint="eastAsia" w:ascii="方正隶书_GBK" w:hAnsi="方正隶书_GBK" w:eastAsia="方正隶书_GBK" w:cs="方正隶书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隶书_GBK" w:hAnsi="方正隶书_GBK" w:eastAsia="方正隶书_GBK" w:cs="方正隶书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），已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在科技厅备案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并在有效期内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的事业单位类新型研发机构，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5C378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78C4E4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科技类民办非企业单位类新型研发机构</w:t>
      </w:r>
    </w:p>
    <w:p w14:paraId="5C928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28A73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科技类民办非企业单位类新型研发机构，是指在省级民政部门登记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的、具有独立法人资格，主要从事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科学研究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、技术开发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科技成果转移转化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FangSong_GB2312" w:cs="Times New Roman"/>
          <w:sz w:val="32"/>
          <w:szCs w:val="24"/>
        </w:rPr>
        <w:t>以及研发服务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等科技创新活动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的机构。</w:t>
      </w:r>
    </w:p>
    <w:p w14:paraId="6099FC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十三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享受科技创新进口税收政策的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符合以下条件：</w:t>
      </w:r>
    </w:p>
    <w:p w14:paraId="11E27FD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依照《民办非企业单位登记管理暂行条例》《民办非企业单位登记暂行办法》的要求，在省</w:t>
      </w:r>
      <w:r>
        <w:rPr>
          <w:rFonts w:hint="eastAsia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级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民政部门登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u w:val="none"/>
          <w:lang w:val="en-US" w:eastAsia="zh-CN" w:bidi="ar-SA"/>
        </w:rPr>
        <w:t>记</w:t>
      </w:r>
      <w:r>
        <w:rPr>
          <w:rFonts w:hint="eastAsia" w:ascii="Times New Roman" w:hAnsi="Times New Roman" w:eastAsia="FangSong_GB2312" w:cs="Times New Roman"/>
          <w:kern w:val="2"/>
          <w:sz w:val="32"/>
          <w:szCs w:val="24"/>
          <w:u w:val="none"/>
          <w:lang w:val="en-US" w:eastAsia="zh-CN" w:bidi="ar-SA"/>
        </w:rPr>
        <w:t>成立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的、具有独立法人资格的民办非企业单位</w:t>
      </w:r>
      <w:r>
        <w:rPr>
          <w:rFonts w:hint="eastAsia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，</w:t>
      </w:r>
      <w:r>
        <w:rPr>
          <w:rFonts w:hint="default" w:ascii="Times New Roman" w:hAnsi="Times New Roman" w:eastAsia="FangSong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fill="auto"/>
          <w:lang w:bidi="ar-SA"/>
        </w:rPr>
        <w:t>内控制度完善</w:t>
      </w: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；</w:t>
      </w:r>
    </w:p>
    <w:p w14:paraId="59686D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资产总额不低于300万元；</w:t>
      </w:r>
    </w:p>
    <w:p w14:paraId="459E0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从事科学研究工作的专业技术人员(指大专以上学历或中级以上技术职称专业技术人员)在20人以上，且占全部在职人员的比例不低于60%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2586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FangSong_GB2312" w:cs="Times New Roman"/>
          <w:kern w:val="2"/>
          <w:sz w:val="32"/>
          <w:szCs w:val="24"/>
          <w:lang w:val="en-US" w:eastAsia="zh-CN" w:bidi="ar-SA"/>
        </w:rPr>
        <w:t>4.具有相对稳定的收入来源，主要包括出资方投入，技术开发、技术转让、技术服务、技术咨询收入，政府购买服务收入等。</w:t>
      </w:r>
    </w:p>
    <w:p w14:paraId="1CED9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十四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申请单位应提交以下材料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一式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 w14:paraId="4D417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民办非企业单位登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法人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证书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（复印件）；</w:t>
      </w:r>
    </w:p>
    <w:p w14:paraId="76023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单位章程和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内控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制度（复印件）；</w:t>
      </w:r>
    </w:p>
    <w:p w14:paraId="555057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附件1）；</w:t>
      </w:r>
    </w:p>
    <w:p w14:paraId="4BC325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具有资质的会计师事务所出具的审计报告（可提供单位在民政部门登记或年检时的审计报告）；</w:t>
      </w:r>
    </w:p>
    <w:p w14:paraId="28B92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科技类民办非企业单位类新型研发机构人员名单表（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详见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），需提供社保缴纳情况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或劳动合同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、学历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或技术职称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4F9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符合条件的科技类民办非企业单位类新型研发机构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有主管部门的，向主管部门申请，通过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会同民政厅、财政厅、成都海关、四川省税务局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主管部门的，由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机构所在地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市级科技主管部门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审核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会同民政厅、财政厅、成都海关、四川省税务局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进行核定。</w:t>
      </w:r>
    </w:p>
    <w:p w14:paraId="0D51D5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根据《四川省新型研发机构建设管理办法》（川科政</w:t>
      </w:r>
      <w:r>
        <w:rPr>
          <w:rFonts w:hint="eastAsia" w:ascii="方正隶书_GBK" w:hAnsi="方正隶书_GBK" w:eastAsia="方正隶书_GBK" w:cs="方正隶书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方正隶书_GBK" w:hAnsi="方正隶书_GBK" w:eastAsia="方正隶书_GBK" w:cs="方正隶书_GBK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在科技厅备案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并在有效期内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在民政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登记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的科技类民办非企业单位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类新型研发机构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民政厅、财政厅、成都海关、四川省税务局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直接核定，单位不再提出申请。</w:t>
      </w:r>
    </w:p>
    <w:p w14:paraId="0FEF04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1B4A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第六章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eastAsia="zh-CN"/>
          <w14:textFill>
            <w14:solidFill>
              <w14:schemeClr w14:val="tx1"/>
            </w14:solidFill>
          </w14:textFill>
        </w:rPr>
        <w:t>动态管理</w:t>
      </w:r>
    </w:p>
    <w:p w14:paraId="1345E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51170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条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科技厅会同财政厅、民政厅、成都海关和四川省税务局，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职责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名单核定及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核定名单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由科技厅函告成都海关，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送财政厅、民政厅、四川省税务局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并通知享惠主体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D2B89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名单核定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实行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全年受理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分批次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第一批名单自202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年1月1日实施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后续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批次自核定函印发之日后第20日起实施。</w:t>
      </w:r>
    </w:p>
    <w:p w14:paraId="731E42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第十八条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对不再被认定为科研院所的单位，享惠资格失效。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纳入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《转制为企业的研究机构科技活动调查名录》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，下一年度未被继续纳入的，享惠资格失效。在科技厅备案的事业单位类新型研发机构、科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技类民办非企业单位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类新型研发机构，享受政策的期限不得超过其备案有效期；有效期届满的，享惠资格失效。失去享惠资格的单位需按本办法规定的程序重新申请核定。</w:t>
      </w:r>
    </w:p>
    <w:p w14:paraId="130490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第十九条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享惠单位发生更名、分立、合并、撤销、业务范围变更等情形的，应按本办法规定的程序重新申请核定。经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的单位，自变更登记之日起，继续享受政策。经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核定不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的单位，自变更登记之日起停止享受政策。</w:t>
      </w:r>
    </w:p>
    <w:p w14:paraId="217266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F55D7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第七章 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t>附则</w:t>
      </w:r>
    </w:p>
    <w:p w14:paraId="58350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676C8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单位如存在以虚报情况获得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享惠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资格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，由科技厅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会同有关单位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查实后函告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成都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海关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自函告之日起，该单位在本办法剩余有效期限内停止享受政策。</w:t>
      </w:r>
    </w:p>
    <w:p w14:paraId="79E98A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有关部门及其工作人员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执行政策过程中存在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违反政策规定的行为，以及滥用职权、玩忽职守、徇私舞弊等违规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违纪违法行为的，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追究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相应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责任；涉嫌犯罪的，依法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移送有关机关处理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1658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二十一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本办法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自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起施行，有效期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至20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年12月31日。</w:t>
      </w:r>
    </w:p>
    <w:p w14:paraId="322E9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二十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本办法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由科技厅负责解释。</w:t>
      </w:r>
    </w:p>
    <w:p w14:paraId="502CEB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880" w:firstLineChars="200"/>
        <w:jc w:val="left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B2A9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附件：1.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享受科技创新进口税收政策申请表</w:t>
      </w:r>
    </w:p>
    <w:p w14:paraId="53046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1622" w:firstLineChars="507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科技类民办非企业单位类新型研发机构人员名单</w:t>
      </w:r>
    </w:p>
    <w:p w14:paraId="5B8B0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878" w:firstLineChars="587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表</w:t>
      </w:r>
    </w:p>
    <w:p w14:paraId="5CB46B79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4165DDA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BEB1E8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1B8717A0">
      <w:pPr>
        <w:rPr>
          <w:rFonts w:hint="default" w:ascii="Times New Roman" w:hAnsi="Times New Roman" w:eastAsia="方正黑体_GBK" w:cs="Times New Roman"/>
          <w:sz w:val="32"/>
          <w:szCs w:val="32"/>
          <w:lang w:val="e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"/>
        </w:rPr>
        <w:t>1</w:t>
      </w:r>
    </w:p>
    <w:p w14:paraId="1698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0"/>
          <w:szCs w:val="2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2"/>
          <w:szCs w:val="42"/>
        </w:rPr>
        <w:t>享受科技创新进口税收政策申请表</w:t>
      </w:r>
    </w:p>
    <w:tbl>
      <w:tblPr>
        <w:tblStyle w:val="11"/>
        <w:tblW w:w="92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1647"/>
        <w:gridCol w:w="1207"/>
        <w:gridCol w:w="1359"/>
        <w:gridCol w:w="2939"/>
      </w:tblGrid>
      <w:tr w14:paraId="42BF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60541A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2EE6FF2D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378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E91D65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619464A8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326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2E9821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FF39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□科研院所       □事业单位类新型研发机构</w:t>
            </w:r>
          </w:p>
          <w:p w14:paraId="7E960091">
            <w:pPr>
              <w:spacing w:line="576" w:lineRule="exact"/>
              <w:jc w:val="both"/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 xml:space="preserve">□转制科研院所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  <w:lang w:val="e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Cs/>
                <w:sz w:val="24"/>
                <w:szCs w:val="24"/>
              </w:rPr>
              <w:t>□科技类民办非企业单位类新型研发机构</w:t>
            </w:r>
          </w:p>
        </w:tc>
      </w:tr>
      <w:tr w14:paraId="4DDC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7BAB6A8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625DB11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1BB65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939" w:type="dxa"/>
            <w:noWrap w:val="0"/>
            <w:vAlign w:val="center"/>
          </w:tcPr>
          <w:p w14:paraId="439C9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A2E9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26869C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设立日期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6899815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4D7C8D24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有效期限</w:t>
            </w:r>
          </w:p>
        </w:tc>
        <w:tc>
          <w:tcPr>
            <w:tcW w:w="2939" w:type="dxa"/>
            <w:noWrap w:val="0"/>
            <w:vAlign w:val="center"/>
          </w:tcPr>
          <w:p w14:paraId="19767497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2ECF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047FE83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54" w:type="dxa"/>
            <w:gridSpan w:val="2"/>
            <w:noWrap w:val="0"/>
            <w:vAlign w:val="center"/>
          </w:tcPr>
          <w:p w14:paraId="49F501B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  <w:tc>
          <w:tcPr>
            <w:tcW w:w="1359" w:type="dxa"/>
            <w:noWrap w:val="0"/>
            <w:vAlign w:val="center"/>
          </w:tcPr>
          <w:p w14:paraId="7355B988">
            <w:pPr>
              <w:widowControl/>
              <w:spacing w:line="600" w:lineRule="exac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noWrap w:val="0"/>
            <w:vAlign w:val="center"/>
          </w:tcPr>
          <w:p w14:paraId="7FAC2FA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68ED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56965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业务</w:t>
            </w:r>
          </w:p>
          <w:p w14:paraId="36F03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范围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5694126E">
            <w:pPr>
              <w:widowControl/>
              <w:spacing w:line="6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5779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1CD8A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  <w:t>职工总人数（人）</w:t>
            </w:r>
          </w:p>
        </w:tc>
        <w:tc>
          <w:tcPr>
            <w:tcW w:w="1647" w:type="dxa"/>
            <w:noWrap w:val="0"/>
            <w:vAlign w:val="center"/>
          </w:tcPr>
          <w:p w14:paraId="4FF6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0D38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专业技术人员数（人）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939" w:type="dxa"/>
            <w:tcBorders>
              <w:left w:val="single" w:color="auto" w:sz="4" w:space="0"/>
            </w:tcBorders>
            <w:noWrap w:val="0"/>
            <w:vAlign w:val="center"/>
          </w:tcPr>
          <w:p w14:paraId="213C1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B42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3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2328B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单位概况及开展科技创新活动、现有条件和人才团队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情况（1500字以内）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59E7A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4F3C5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  <w:tblCellSpacing w:w="0" w:type="dxa"/>
          <w:jc w:val="center"/>
        </w:trPr>
        <w:tc>
          <w:tcPr>
            <w:tcW w:w="2108" w:type="dxa"/>
            <w:noWrap w:val="0"/>
            <w:vAlign w:val="center"/>
          </w:tcPr>
          <w:p w14:paraId="121F818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申请单位意见</w:t>
            </w:r>
          </w:p>
        </w:tc>
        <w:tc>
          <w:tcPr>
            <w:tcW w:w="7152" w:type="dxa"/>
            <w:gridSpan w:val="4"/>
            <w:noWrap w:val="0"/>
            <w:vAlign w:val="center"/>
          </w:tcPr>
          <w:p w14:paraId="13E49326">
            <w:pPr>
              <w:widowControl/>
              <w:spacing w:line="600" w:lineRule="exact"/>
              <w:ind w:firstLine="960" w:firstLineChars="4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</w:pPr>
          </w:p>
          <w:p w14:paraId="4F36B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80" w:firstLineChars="170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（盖章）</w:t>
            </w:r>
          </w:p>
          <w:p w14:paraId="20BA5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   日</w:t>
            </w:r>
          </w:p>
        </w:tc>
      </w:tr>
      <w:tr w14:paraId="36226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tblCellSpacing w:w="0" w:type="dxa"/>
          <w:jc w:val="center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F7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主管部门审核意见</w:t>
            </w:r>
          </w:p>
        </w:tc>
        <w:tc>
          <w:tcPr>
            <w:tcW w:w="7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91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4461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34D77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3309" w:firstLineChars="13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  <w:p w14:paraId="029F2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029" w:firstLineChars="1679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（盖章）</w:t>
            </w:r>
          </w:p>
          <w:p w14:paraId="0D58E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年    月    日</w:t>
            </w:r>
          </w:p>
        </w:tc>
      </w:tr>
    </w:tbl>
    <w:p w14:paraId="64FF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561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1D06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572F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F82A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57F0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A83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1494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38FF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322D2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3408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C617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1BF4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0A7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DC89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C804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696D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A2D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6EF0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80B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524C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ED0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9535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BF4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94A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E7E1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B1B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4295D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19BF7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78B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DE2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2170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65FC9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678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16BA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7F8CF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3F817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20DDD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5955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p w14:paraId="0FDFC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11"/>
        <w:tblW w:w="925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704"/>
        <w:gridCol w:w="1953"/>
        <w:gridCol w:w="1512"/>
        <w:gridCol w:w="3307"/>
      </w:tblGrid>
      <w:tr w14:paraId="71EC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25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E695D8">
            <w:pPr>
              <w:snapToGrid w:val="0"/>
              <w:spacing w:line="264" w:lineRule="auto"/>
              <w:jc w:val="both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</w:rPr>
              <w:t>附件</w:t>
            </w: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  <w:t>2</w:t>
            </w:r>
          </w:p>
          <w:p w14:paraId="10F0D139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  <w:shd w:val="clear" w:color="auto" w:fill="FFFFFF"/>
                <w:lang w:val="en"/>
              </w:rPr>
            </w:pPr>
          </w:p>
          <w:p w14:paraId="5453536B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  <w:t>科技类民办非企业单位类新型研发机构人员名单表</w:t>
            </w:r>
          </w:p>
          <w:p w14:paraId="24FE47D6">
            <w:pPr>
              <w:snapToGrid w:val="0"/>
              <w:spacing w:line="264" w:lineRule="auto"/>
              <w:jc w:val="center"/>
              <w:rPr>
                <w:rFonts w:hint="default" w:ascii="Times New Roman" w:hAnsi="Times New Roman" w:eastAsia="方正小标宋_GBK" w:cs="Times New Roman"/>
                <w:color w:val="000000"/>
                <w:sz w:val="32"/>
                <w:szCs w:val="32"/>
              </w:rPr>
            </w:pPr>
          </w:p>
        </w:tc>
      </w:tr>
      <w:tr w14:paraId="0A48B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59CB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EDE73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B568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学历/技术职称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6A76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是否从事科学研究工作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357F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24"/>
                <w:szCs w:val="24"/>
              </w:rPr>
              <w:t>所在部门</w:t>
            </w:r>
          </w:p>
        </w:tc>
      </w:tr>
      <w:tr w14:paraId="57CD3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4A30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6A0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7E6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C434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6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B3E6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5DF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73690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9247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1F0B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10E4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0D8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6C6D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63E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32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6133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07D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275E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71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56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48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5D8B6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CBC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7409A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3BE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6D9A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ECF3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F9CD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217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236F3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657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F51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F0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F6152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8B9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39E71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FA8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265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910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5FBD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C00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4884C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5717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1789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655A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3066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47CB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5C1BF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15C9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8EF3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0DDE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6DEF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65AEF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06FB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31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04DB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3FA7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0593D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2CC2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  <w:tr w14:paraId="08923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955B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509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D8F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302F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  <w:tc>
          <w:tcPr>
            <w:tcW w:w="3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E03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</w:p>
        </w:tc>
      </w:tr>
    </w:tbl>
    <w:p w14:paraId="29D3E049"/>
    <w:p w14:paraId="26D6DFFF"/>
    <w:p w14:paraId="1E3D4D7A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6C03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F998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0F998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58D4"/>
    <w:rsid w:val="01A309D4"/>
    <w:rsid w:val="01A86864"/>
    <w:rsid w:val="02C6579A"/>
    <w:rsid w:val="02E9516C"/>
    <w:rsid w:val="02F27DF5"/>
    <w:rsid w:val="034D2BC8"/>
    <w:rsid w:val="03C87BAE"/>
    <w:rsid w:val="04FF1AF7"/>
    <w:rsid w:val="05CA3F19"/>
    <w:rsid w:val="068219B6"/>
    <w:rsid w:val="06CF1F99"/>
    <w:rsid w:val="07557FB1"/>
    <w:rsid w:val="085D3430"/>
    <w:rsid w:val="0A115B97"/>
    <w:rsid w:val="0B940527"/>
    <w:rsid w:val="0CEE31B2"/>
    <w:rsid w:val="0D1157B1"/>
    <w:rsid w:val="0E5A4271"/>
    <w:rsid w:val="0EBB408D"/>
    <w:rsid w:val="0F006A59"/>
    <w:rsid w:val="0F45027E"/>
    <w:rsid w:val="142E3D9C"/>
    <w:rsid w:val="15094D50"/>
    <w:rsid w:val="165C59F1"/>
    <w:rsid w:val="17393CDD"/>
    <w:rsid w:val="17A728DB"/>
    <w:rsid w:val="187A7FF0"/>
    <w:rsid w:val="18C84D4F"/>
    <w:rsid w:val="19D33E6C"/>
    <w:rsid w:val="1A073B05"/>
    <w:rsid w:val="1BC66410"/>
    <w:rsid w:val="1CA42D03"/>
    <w:rsid w:val="1D11777D"/>
    <w:rsid w:val="1D5A219E"/>
    <w:rsid w:val="20005D65"/>
    <w:rsid w:val="20E73C3D"/>
    <w:rsid w:val="216B5D8A"/>
    <w:rsid w:val="22235254"/>
    <w:rsid w:val="22276E72"/>
    <w:rsid w:val="230E7CB2"/>
    <w:rsid w:val="23A71167"/>
    <w:rsid w:val="23E967E2"/>
    <w:rsid w:val="24FD68E0"/>
    <w:rsid w:val="260B259C"/>
    <w:rsid w:val="274A7F93"/>
    <w:rsid w:val="28793E20"/>
    <w:rsid w:val="2A9109D5"/>
    <w:rsid w:val="2ABA7A04"/>
    <w:rsid w:val="2B0A3BB2"/>
    <w:rsid w:val="2B3D4B1E"/>
    <w:rsid w:val="2BBF5FEE"/>
    <w:rsid w:val="2BC01D66"/>
    <w:rsid w:val="2C2006D5"/>
    <w:rsid w:val="2C36294F"/>
    <w:rsid w:val="2CA11824"/>
    <w:rsid w:val="2E9C3BB2"/>
    <w:rsid w:val="2EDD194D"/>
    <w:rsid w:val="2F412F9A"/>
    <w:rsid w:val="301C4AF1"/>
    <w:rsid w:val="310917CD"/>
    <w:rsid w:val="31B22567"/>
    <w:rsid w:val="32DB09B4"/>
    <w:rsid w:val="34C71737"/>
    <w:rsid w:val="37E76A3B"/>
    <w:rsid w:val="38F75D3E"/>
    <w:rsid w:val="394871E4"/>
    <w:rsid w:val="399D5975"/>
    <w:rsid w:val="3A5B2D9A"/>
    <w:rsid w:val="3BCC1E16"/>
    <w:rsid w:val="3BFF739C"/>
    <w:rsid w:val="3C9C5ED7"/>
    <w:rsid w:val="3F9E3700"/>
    <w:rsid w:val="4087748E"/>
    <w:rsid w:val="412A3C34"/>
    <w:rsid w:val="41BE5A2A"/>
    <w:rsid w:val="425132C0"/>
    <w:rsid w:val="430A4998"/>
    <w:rsid w:val="43BB3599"/>
    <w:rsid w:val="43E758B2"/>
    <w:rsid w:val="454D525F"/>
    <w:rsid w:val="45FC3915"/>
    <w:rsid w:val="46537F7E"/>
    <w:rsid w:val="479038BC"/>
    <w:rsid w:val="47AE57BC"/>
    <w:rsid w:val="47E3053C"/>
    <w:rsid w:val="48112569"/>
    <w:rsid w:val="49AB775A"/>
    <w:rsid w:val="49E52983"/>
    <w:rsid w:val="4B6E2A3B"/>
    <w:rsid w:val="4B946AE8"/>
    <w:rsid w:val="4DDA23BB"/>
    <w:rsid w:val="4F95706B"/>
    <w:rsid w:val="50FB55C8"/>
    <w:rsid w:val="54C77E91"/>
    <w:rsid w:val="55026FE7"/>
    <w:rsid w:val="560F31C7"/>
    <w:rsid w:val="57307E35"/>
    <w:rsid w:val="57963190"/>
    <w:rsid w:val="57DDF6E3"/>
    <w:rsid w:val="58055774"/>
    <w:rsid w:val="585C5290"/>
    <w:rsid w:val="59A71CEC"/>
    <w:rsid w:val="5AF80325"/>
    <w:rsid w:val="5DD44C9F"/>
    <w:rsid w:val="5E32405F"/>
    <w:rsid w:val="5EC82C79"/>
    <w:rsid w:val="5F3C2ED6"/>
    <w:rsid w:val="60212201"/>
    <w:rsid w:val="61356B85"/>
    <w:rsid w:val="616363F5"/>
    <w:rsid w:val="61774A8F"/>
    <w:rsid w:val="61D9696C"/>
    <w:rsid w:val="627F77B5"/>
    <w:rsid w:val="62FD68B3"/>
    <w:rsid w:val="653347C2"/>
    <w:rsid w:val="66C6533B"/>
    <w:rsid w:val="66DF2E8A"/>
    <w:rsid w:val="671257E2"/>
    <w:rsid w:val="674F5770"/>
    <w:rsid w:val="68F57A2C"/>
    <w:rsid w:val="6C9C0EC0"/>
    <w:rsid w:val="6CE512EB"/>
    <w:rsid w:val="6EFD08B6"/>
    <w:rsid w:val="6FB42B92"/>
    <w:rsid w:val="70700C31"/>
    <w:rsid w:val="71240AE7"/>
    <w:rsid w:val="717A01F2"/>
    <w:rsid w:val="71F53286"/>
    <w:rsid w:val="72570683"/>
    <w:rsid w:val="72C05DD3"/>
    <w:rsid w:val="73D32C53"/>
    <w:rsid w:val="747D391D"/>
    <w:rsid w:val="748A31AB"/>
    <w:rsid w:val="74C1582C"/>
    <w:rsid w:val="74C30B99"/>
    <w:rsid w:val="75754CB1"/>
    <w:rsid w:val="78D34558"/>
    <w:rsid w:val="78D812E1"/>
    <w:rsid w:val="794A6433"/>
    <w:rsid w:val="79B21D3A"/>
    <w:rsid w:val="7A6A7B6B"/>
    <w:rsid w:val="7BDD2EF3"/>
    <w:rsid w:val="7D9871C6"/>
    <w:rsid w:val="7DF82487"/>
    <w:rsid w:val="7E2D0162"/>
    <w:rsid w:val="7EEECCFC"/>
    <w:rsid w:val="7F2B605D"/>
    <w:rsid w:val="7F336134"/>
    <w:rsid w:val="7FCFC2D4"/>
    <w:rsid w:val="9FEF8194"/>
    <w:rsid w:val="BBEDD2B8"/>
    <w:rsid w:val="DCED0EAB"/>
    <w:rsid w:val="DFBB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unhideWhenUsed/>
    <w:qFormat/>
    <w:uiPriority w:val="99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qFormat/>
    <w:uiPriority w:val="99"/>
    <w:pPr>
      <w:widowControl w:val="0"/>
      <w:spacing w:after="12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Body Text Indent"/>
    <w:basedOn w:val="1"/>
    <w:unhideWhenUsed/>
    <w:qFormat/>
    <w:uiPriority w:val="99"/>
    <w:pPr>
      <w:widowControl w:val="0"/>
      <w:spacing w:after="120"/>
      <w:ind w:left="420" w:leftChars="200"/>
    </w:pPr>
    <w:rPr>
      <w:sz w:val="21"/>
      <w:szCs w:val="2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widowControl w:val="0"/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</w:style>
  <w:style w:type="table" w:styleId="12">
    <w:name w:val="Table Grid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footnote reference"/>
    <w:basedOn w:val="13"/>
    <w:qFormat/>
    <w:uiPriority w:val="0"/>
    <w:rPr>
      <w:rFonts w:ascii="Times New Roman" w:hAnsi="Times New Roman" w:eastAsia="仿宋_GB2312" w:cs="Times New Roman"/>
      <w:snapToGrid w:val="0"/>
      <w:color w:val="222222"/>
      <w:sz w:val="32"/>
      <w:szCs w:val="32"/>
      <w:shd w:val="clear" w:color="auto" w:fill="FFFFFF"/>
      <w:vertAlign w:val="superscript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3691</Words>
  <Characters>3779</Characters>
  <Lines>0</Lines>
  <Paragraphs>0</Paragraphs>
  <TotalTime>11</TotalTime>
  <ScaleCrop>false</ScaleCrop>
  <LinksUpToDate>false</LinksUpToDate>
  <CharactersWithSpaces>3983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2026-01-24T18:17:00Z</dcterms:created>
  <dc:creator>vcxnjfgx</dc:creator>
  <cp:lastModifiedBy>柏林</cp:lastModifiedBy>
  <cp:lastPrinted>2026-06-01T23:17:00Z</cp:lastPrinted>
  <dcterms:modified xsi:type="dcterms:W3CDTF">2026-06-09T02:50:00Z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eyJoZGlkIjoiOTcyMjhhZTc1NjE0MmE0NDg4ZDk5NWViNDk1MWUzOGYiLCJ1c2VySWQiOiIxODE1ODI0NjY1In0=</vt:lpwstr>
  </property>
  <property fmtid="{D5CDD505-2E9C-101B-9397-08002B2CF9AE}" pid="4" name="ICV">
    <vt:lpwstr>BCF2B3D7521F403A81D2B6F2F6463881_13</vt:lpwstr>
  </property>
  <property fmtid="{D5CDD505-2E9C-101B-9397-08002B2CF9AE}" pid="5" name="workspaceId">
    <vt:lpwstr>616914de</vt:lpwstr>
  </property>
</Properties>
</file>