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4857" w14:textId="77777777" w:rsidR="00896EA8" w:rsidRDefault="00000000">
      <w:pPr>
        <w:rPr>
          <w:rFonts w:ascii="黑体" w:eastAsia="黑体" w:hAnsi="黑体" w:cs="黑体" w:hint="eastAsia"/>
          <w:sz w:val="32"/>
          <w:szCs w:val="40"/>
        </w:rPr>
      </w:pPr>
      <w:r>
        <w:rPr>
          <w:rFonts w:ascii="黑体" w:eastAsia="黑体" w:hAnsi="黑体" w:cs="黑体" w:hint="eastAsia"/>
          <w:sz w:val="32"/>
          <w:szCs w:val="40"/>
        </w:rPr>
        <w:t>附件</w:t>
      </w:r>
    </w:p>
    <w:p w14:paraId="2FFF2991" w14:textId="77777777" w:rsidR="00896EA8" w:rsidRDefault="00000000">
      <w:pPr>
        <w:pStyle w:val="1"/>
        <w:widowControl/>
        <w:spacing w:beforeAutospacing="0" w:afterAutospacing="0" w:line="560" w:lineRule="atLeast"/>
        <w:jc w:val="center"/>
        <w:rPr>
          <w:rFonts w:ascii="Times New Roman" w:eastAsia="方正小标宋简体" w:hAnsi="Times New Roman" w:hint="default"/>
          <w:b w:val="0"/>
          <w:bCs w:val="0"/>
          <w:color w:val="000000"/>
          <w:sz w:val="44"/>
          <w:szCs w:val="44"/>
        </w:rPr>
      </w:pPr>
      <w:r>
        <w:rPr>
          <w:rFonts w:ascii="Times New Roman" w:eastAsia="方正小标宋简体" w:hAnsi="Times New Roman" w:hint="default"/>
          <w:b w:val="0"/>
          <w:bCs w:val="0"/>
          <w:color w:val="000000"/>
          <w:sz w:val="44"/>
          <w:szCs w:val="44"/>
        </w:rPr>
        <w:t>绵阳市开展科技保险工作的实施意见</w:t>
      </w:r>
    </w:p>
    <w:p w14:paraId="6AEA722B"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lang w:bidi="ar"/>
        </w:rPr>
        <w:t>为深入贯彻党的二十大关于完善科技创新体系的战略部署，落实《国家中长期科学和技术发展规划纲要》中科技保险保障机制建设要求，依据《加快构建科技金融体制有力支撑高水平科技自立自强的若干政策举措》《银行业保险业科技金融高质量发展实施方案》（金办发〔</w:t>
      </w:r>
      <w:r>
        <w:rPr>
          <w:rFonts w:ascii="Times New Roman" w:eastAsia="仿宋_GB2312" w:hAnsi="Times New Roman" w:cs="Times New Roman"/>
          <w:color w:val="000000"/>
          <w:kern w:val="0"/>
          <w:sz w:val="32"/>
          <w:szCs w:val="32"/>
          <w:lang w:bidi="ar"/>
        </w:rPr>
        <w:t>2025</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31</w:t>
      </w:r>
      <w:r>
        <w:rPr>
          <w:rFonts w:ascii="Times New Roman" w:eastAsia="仿宋_GB2312" w:hAnsi="Times New Roman" w:cs="Times New Roman"/>
          <w:color w:val="000000"/>
          <w:kern w:val="0"/>
          <w:sz w:val="32"/>
          <w:szCs w:val="32"/>
          <w:lang w:bidi="ar"/>
        </w:rPr>
        <w:t>号）《川渝科技金融一体化发展行动方案》《关于加快推动科技保险高质量发展有力支撑高水平科技自立自强的若干意见》等文件精神，结合我市科技创新与产业发展实际，特制定本实施意见。</w:t>
      </w:r>
    </w:p>
    <w:p w14:paraId="3F2ADB4D" w14:textId="77777777" w:rsidR="00896EA8" w:rsidRDefault="00000000">
      <w:pPr>
        <w:pStyle w:val="2"/>
        <w:widowControl/>
        <w:spacing w:beforeAutospacing="0" w:afterAutospacing="0" w:line="560" w:lineRule="atLeast"/>
        <w:ind w:firstLineChars="200" w:firstLine="640"/>
        <w:jc w:val="both"/>
        <w:rPr>
          <w:rFonts w:ascii="Times New Roman" w:eastAsia="黑体" w:hAnsi="Times New Roman" w:hint="default"/>
          <w:b w:val="0"/>
          <w:bCs w:val="0"/>
          <w:color w:val="000000"/>
          <w:sz w:val="32"/>
          <w:szCs w:val="32"/>
        </w:rPr>
      </w:pPr>
      <w:r>
        <w:rPr>
          <w:rFonts w:ascii="Times New Roman" w:eastAsia="黑体" w:hAnsi="Times New Roman" w:hint="default"/>
          <w:b w:val="0"/>
          <w:bCs w:val="0"/>
          <w:color w:val="000000"/>
          <w:sz w:val="32"/>
          <w:szCs w:val="32"/>
        </w:rPr>
        <w:t>一、重要意义</w:t>
      </w:r>
    </w:p>
    <w:p w14:paraId="6A2BE03A"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lang w:bidi="ar"/>
        </w:rPr>
        <w:t>科技保险作为科技金融的核心组成部分，是为科技型企业提供全链条风险保障的综合性金融工具，覆盖研发中断、关键设备保障、网络安全防护、知识产权保护等多领域风险。其核心价值体现在三方面：一是助力科技型企业及军民科技协同创新企业（单位）分散研发创新、成果转化、生产经营等全周期风险，强化企业风险管理能力，提升核心竞争力；二是为高管团队、关键研发人员等核心人才提供全方位健康医疗与养老保障，强化人文关怀，筑牢人才留存与创新动力基础；三是搭建科技与金融深度融合的桥梁，优化科技创新生态，为我市高水平科技自立自强提供坚实风险保障支撑。</w:t>
      </w:r>
    </w:p>
    <w:p w14:paraId="3046074F" w14:textId="77777777" w:rsidR="00896EA8" w:rsidRDefault="00000000">
      <w:pPr>
        <w:pStyle w:val="2"/>
        <w:widowControl/>
        <w:spacing w:beforeAutospacing="0" w:afterAutospacing="0" w:line="560" w:lineRule="atLeast"/>
        <w:ind w:firstLineChars="200" w:firstLine="640"/>
        <w:jc w:val="both"/>
        <w:rPr>
          <w:rFonts w:ascii="Times New Roman" w:eastAsia="黑体" w:hAnsi="Times New Roman" w:hint="default"/>
          <w:b w:val="0"/>
          <w:bCs w:val="0"/>
          <w:color w:val="000000"/>
          <w:sz w:val="32"/>
          <w:szCs w:val="32"/>
        </w:rPr>
      </w:pPr>
      <w:r>
        <w:rPr>
          <w:rFonts w:ascii="Times New Roman" w:eastAsia="黑体" w:hAnsi="Times New Roman" w:hint="default"/>
          <w:b w:val="0"/>
          <w:bCs w:val="0"/>
          <w:color w:val="000000"/>
          <w:sz w:val="32"/>
          <w:szCs w:val="32"/>
        </w:rPr>
        <w:t>二、基本原则</w:t>
      </w:r>
    </w:p>
    <w:p w14:paraId="09932D4E"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lastRenderedPageBreak/>
        <w:t>（一）政府引导，精准赋能</w:t>
      </w:r>
    </w:p>
    <w:p w14:paraId="6E3DC760"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lang w:bidi="ar"/>
        </w:rPr>
        <w:t>优化财政资金投入效能，建立科学规范的保费补贴机制，聚焦科技型企业及军民科技协同创新企业（单位）核心风险点，引导企业主动参保，提升风险抵御能力，助力企业持续健康发展。</w:t>
      </w:r>
    </w:p>
    <w:p w14:paraId="53169700"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（二）市场主导，专业运作</w:t>
      </w:r>
    </w:p>
    <w:p w14:paraId="24ABAED9"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lang w:bidi="ar"/>
        </w:rPr>
        <w:t>承保保险公司（以下简称</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承保公司</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）需立足科技创新规律与企业个性化需求，遵循保险市场运作规则和经营原则，创新产品与服务模式，有效分散化解创新风险，同时严守经营风险底线。</w:t>
      </w:r>
    </w:p>
    <w:p w14:paraId="695F781F"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（三）双向选择，灵活适配</w:t>
      </w:r>
    </w:p>
    <w:p w14:paraId="0E902D6F"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lang w:bidi="ar"/>
        </w:rPr>
        <w:t>承保公司依据企业风险特征定制差异</w:t>
      </w:r>
      <w:proofErr w:type="gramStart"/>
      <w:r>
        <w:rPr>
          <w:rFonts w:ascii="Times New Roman" w:eastAsia="仿宋_GB2312" w:hAnsi="Times New Roman" w:cs="Times New Roman"/>
          <w:color w:val="000000"/>
          <w:kern w:val="0"/>
          <w:sz w:val="32"/>
          <w:szCs w:val="32"/>
          <w:lang w:bidi="ar"/>
        </w:rPr>
        <w:t>化保险</w:t>
      </w:r>
      <w:proofErr w:type="gramEnd"/>
      <w:r>
        <w:rPr>
          <w:rFonts w:ascii="Times New Roman" w:eastAsia="仿宋_GB2312" w:hAnsi="Times New Roman" w:cs="Times New Roman"/>
          <w:color w:val="000000"/>
          <w:kern w:val="0"/>
          <w:sz w:val="32"/>
          <w:szCs w:val="32"/>
          <w:lang w:bidi="ar"/>
        </w:rPr>
        <w:t>方案，科技型企业或军民科技协同创新企业（单位）可自主选择标准化方案或组合定制方案投保，实现风险保障与企业需求精准匹配。</w:t>
      </w:r>
    </w:p>
    <w:p w14:paraId="4C2BAB94"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（四）动态优化，高效适配</w:t>
      </w:r>
    </w:p>
    <w:p w14:paraId="426225B5"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lang w:bidi="ar"/>
        </w:rPr>
        <w:t>建立险种动态调整、补贴政策灵活优化机制，适配科技创新迭代周期与企业发展需求变化，确保政策时效性与实用性。</w:t>
      </w:r>
    </w:p>
    <w:p w14:paraId="4A4D5B88" w14:textId="77777777" w:rsidR="00896EA8" w:rsidRDefault="00000000">
      <w:pPr>
        <w:pStyle w:val="2"/>
        <w:widowControl/>
        <w:spacing w:beforeAutospacing="0" w:afterAutospacing="0" w:line="560" w:lineRule="atLeast"/>
        <w:ind w:firstLineChars="200" w:firstLine="640"/>
        <w:jc w:val="both"/>
        <w:rPr>
          <w:rFonts w:ascii="Times New Roman" w:eastAsia="黑体" w:hAnsi="Times New Roman" w:hint="default"/>
          <w:b w:val="0"/>
          <w:bCs w:val="0"/>
          <w:color w:val="000000"/>
          <w:sz w:val="32"/>
          <w:szCs w:val="32"/>
        </w:rPr>
      </w:pPr>
      <w:r>
        <w:rPr>
          <w:rFonts w:ascii="Times New Roman" w:eastAsia="黑体" w:hAnsi="Times New Roman" w:hint="default"/>
          <w:b w:val="0"/>
          <w:bCs w:val="0"/>
          <w:color w:val="000000"/>
          <w:sz w:val="32"/>
          <w:szCs w:val="32"/>
        </w:rPr>
        <w:t>三、主要工作内容</w:t>
      </w:r>
    </w:p>
    <w:p w14:paraId="14BD54E3"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（一）支持对象</w:t>
      </w:r>
    </w:p>
    <w:p w14:paraId="3E6E5232"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在</w:t>
      </w:r>
      <w:proofErr w:type="gramStart"/>
      <w:r>
        <w:rPr>
          <w:rFonts w:ascii="Times New Roman" w:eastAsia="仿宋_GB2312" w:hAnsi="Times New Roman" w:cs="Times New Roman"/>
          <w:color w:val="000000"/>
          <w:sz w:val="32"/>
          <w:szCs w:val="32"/>
        </w:rPr>
        <w:t>涪</w:t>
      </w:r>
      <w:proofErr w:type="gramEnd"/>
      <w:r>
        <w:rPr>
          <w:rFonts w:ascii="Times New Roman" w:eastAsia="仿宋_GB2312" w:hAnsi="Times New Roman" w:cs="Times New Roman"/>
          <w:color w:val="000000"/>
          <w:sz w:val="32"/>
          <w:szCs w:val="32"/>
        </w:rPr>
        <w:t>城区、游仙区、安州区、经开区、仙海区</w:t>
      </w:r>
      <w:r>
        <w:rPr>
          <w:rFonts w:ascii="Times New Roman" w:eastAsia="仿宋_GB2312" w:hAnsi="Times New Roman" w:cs="Times New Roman" w:hint="eastAsia"/>
          <w:color w:val="000000"/>
          <w:sz w:val="32"/>
          <w:szCs w:val="32"/>
        </w:rPr>
        <w:t>和</w:t>
      </w:r>
      <w:r>
        <w:rPr>
          <w:rFonts w:ascii="Times New Roman" w:eastAsia="仿宋_GB2312" w:hAnsi="Times New Roman" w:cs="Times New Roman"/>
          <w:color w:val="000000"/>
          <w:sz w:val="32"/>
          <w:szCs w:val="32"/>
        </w:rPr>
        <w:t>科技城新区</w:t>
      </w:r>
      <w:r>
        <w:rPr>
          <w:rFonts w:ascii="Times New Roman" w:eastAsia="仿宋_GB2312" w:hAnsi="Times New Roman" w:cs="Times New Roman" w:hint="eastAsia"/>
          <w:color w:val="000000"/>
          <w:sz w:val="32"/>
          <w:szCs w:val="32"/>
        </w:rPr>
        <w:t>范围内</w:t>
      </w:r>
      <w:r>
        <w:rPr>
          <w:rFonts w:ascii="Times New Roman" w:eastAsia="仿宋_GB2312" w:hAnsi="Times New Roman" w:cs="Times New Roman" w:hint="eastAsia"/>
          <w:color w:val="000000"/>
          <w:kern w:val="0"/>
          <w:sz w:val="32"/>
          <w:szCs w:val="32"/>
          <w:lang w:bidi="ar"/>
        </w:rPr>
        <w:t>，且</w:t>
      </w:r>
      <w:r>
        <w:rPr>
          <w:rFonts w:ascii="Times New Roman" w:eastAsia="仿宋_GB2312" w:hAnsi="Times New Roman" w:cs="Times New Roman"/>
          <w:color w:val="000000"/>
          <w:sz w:val="32"/>
          <w:szCs w:val="32"/>
        </w:rPr>
        <w:t>满足以下任</w:t>
      </w:r>
      <w:proofErr w:type="gramStart"/>
      <w:r>
        <w:rPr>
          <w:rFonts w:ascii="Times New Roman" w:eastAsia="仿宋_GB2312" w:hAnsi="Times New Roman" w:cs="Times New Roman"/>
          <w:color w:val="000000"/>
          <w:sz w:val="32"/>
          <w:szCs w:val="32"/>
        </w:rPr>
        <w:t>一</w:t>
      </w:r>
      <w:proofErr w:type="gramEnd"/>
      <w:r>
        <w:rPr>
          <w:rFonts w:ascii="Times New Roman" w:eastAsia="仿宋_GB2312" w:hAnsi="Times New Roman" w:cs="Times New Roman"/>
          <w:color w:val="000000"/>
          <w:sz w:val="32"/>
          <w:szCs w:val="32"/>
        </w:rPr>
        <w:t>条件：</w:t>
      </w:r>
    </w:p>
    <w:p w14:paraId="295417D1"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kern w:val="0"/>
          <w:sz w:val="32"/>
          <w:szCs w:val="32"/>
          <w:lang w:bidi="ar"/>
        </w:rPr>
        <w:t>依法登记注册，</w:t>
      </w:r>
      <w:r>
        <w:rPr>
          <w:rFonts w:ascii="Times New Roman" w:eastAsia="仿宋_GB2312" w:hAnsi="Times New Roman" w:cs="Times New Roman"/>
          <w:color w:val="000000"/>
          <w:sz w:val="32"/>
          <w:szCs w:val="32"/>
        </w:rPr>
        <w:t>具备科技创新活动相关资质</w:t>
      </w:r>
      <w:r>
        <w:rPr>
          <w:rFonts w:ascii="Times New Roman" w:eastAsia="仿宋_GB2312" w:hAnsi="Times New Roman" w:cs="Times New Roman" w:hint="eastAsia"/>
          <w:color w:val="000000"/>
          <w:sz w:val="32"/>
          <w:szCs w:val="32"/>
        </w:rPr>
        <w:t>的企业</w:t>
      </w:r>
      <w:r>
        <w:rPr>
          <w:rFonts w:ascii="Times New Roman" w:eastAsia="仿宋_GB2312" w:hAnsi="Times New Roman" w:cs="Times New Roman"/>
          <w:color w:val="000000"/>
          <w:sz w:val="32"/>
          <w:szCs w:val="32"/>
        </w:rPr>
        <w:t>（如高新技术企业、科技型中小企业、</w:t>
      </w:r>
      <w:r>
        <w:rPr>
          <w:rFonts w:ascii="Times New Roman" w:eastAsia="仿宋_GB2312" w:hAnsi="Times New Roman" w:cs="Times New Roman"/>
          <w:color w:val="000000"/>
          <w:kern w:val="0"/>
          <w:sz w:val="32"/>
          <w:szCs w:val="32"/>
          <w:lang w:bidi="ar"/>
        </w:rPr>
        <w:t>军民科技协同创新企业</w:t>
      </w:r>
      <w:r>
        <w:rPr>
          <w:rFonts w:ascii="Times New Roman" w:eastAsia="仿宋_GB2312" w:hAnsi="Times New Roman" w:cs="Times New Roman"/>
          <w:color w:val="000000"/>
          <w:sz w:val="32"/>
          <w:szCs w:val="32"/>
        </w:rPr>
        <w:t>等）。</w:t>
      </w:r>
    </w:p>
    <w:p w14:paraId="1A2263A0"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2</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kern w:val="0"/>
          <w:sz w:val="32"/>
          <w:szCs w:val="32"/>
          <w:lang w:bidi="ar"/>
        </w:rPr>
        <w:t>依法登记注册，获得</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委托孵化</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先拨</w:t>
      </w:r>
      <w:r>
        <w:rPr>
          <w:rFonts w:ascii="Times New Roman" w:eastAsia="仿宋_GB2312" w:hAnsi="Times New Roman" w:cs="Times New Roman" w:hint="eastAsia"/>
          <w:color w:val="000000"/>
          <w:kern w:val="0"/>
          <w:sz w:val="32"/>
          <w:szCs w:val="32"/>
          <w:lang w:bidi="ar"/>
        </w:rPr>
        <w:t>（投）</w:t>
      </w:r>
      <w:r>
        <w:rPr>
          <w:rFonts w:ascii="Times New Roman" w:eastAsia="仿宋_GB2312" w:hAnsi="Times New Roman" w:cs="Times New Roman"/>
          <w:color w:val="000000"/>
          <w:kern w:val="0"/>
          <w:sz w:val="32"/>
          <w:szCs w:val="32"/>
          <w:lang w:bidi="ar"/>
        </w:rPr>
        <w:t>后股</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支持的</w:t>
      </w:r>
      <w:r>
        <w:rPr>
          <w:rFonts w:ascii="Times New Roman" w:eastAsia="仿宋_GB2312" w:hAnsi="Times New Roman" w:cs="Times New Roman" w:hint="eastAsia"/>
          <w:color w:val="000000"/>
          <w:kern w:val="0"/>
          <w:sz w:val="32"/>
          <w:szCs w:val="32"/>
          <w:lang w:bidi="ar"/>
        </w:rPr>
        <w:t>企业</w:t>
      </w:r>
      <w:r>
        <w:rPr>
          <w:rFonts w:ascii="Times New Roman" w:eastAsia="仿宋_GB2312" w:hAnsi="Times New Roman" w:cs="Times New Roman"/>
          <w:color w:val="000000"/>
          <w:sz w:val="32"/>
          <w:szCs w:val="32"/>
        </w:rPr>
        <w:t>。</w:t>
      </w:r>
    </w:p>
    <w:p w14:paraId="3454BB88"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开展实质性研发、成果转化活动</w:t>
      </w:r>
      <w:r>
        <w:rPr>
          <w:rFonts w:ascii="Times New Roman" w:eastAsia="仿宋_GB2312" w:hAnsi="Times New Roman" w:cs="Times New Roman" w:hint="eastAsia"/>
          <w:color w:val="000000"/>
          <w:sz w:val="32"/>
          <w:szCs w:val="32"/>
        </w:rPr>
        <w:t>的</w:t>
      </w:r>
      <w:r>
        <w:rPr>
          <w:rFonts w:ascii="Times New Roman" w:eastAsia="仿宋_GB2312" w:hAnsi="Times New Roman" w:cs="Times New Roman"/>
          <w:color w:val="000000"/>
          <w:sz w:val="32"/>
          <w:szCs w:val="32"/>
        </w:rPr>
        <w:t>科研机构（院所）。</w:t>
      </w:r>
    </w:p>
    <w:p w14:paraId="31AB120B"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同时，支持对象上一年度及当年未发生重大安全事故、重大质量事故、严重环境违法行为及科研失信行为，且未列入国家企业信用信息公示系统经营异常名录和严重违法失信名单。</w:t>
      </w:r>
    </w:p>
    <w:p w14:paraId="0AE00E56"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（二）保险经办机构</w:t>
      </w:r>
    </w:p>
    <w:p w14:paraId="5092A0A7" w14:textId="77777777" w:rsidR="00896EA8" w:rsidRDefault="00000000">
      <w:pPr>
        <w:widowControl/>
        <w:spacing w:line="560" w:lineRule="atLeast"/>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t>符合科技保险相关规定，有经国家金融监督管理总局及其派出机构批复或备案科技保险险种的保险公司。</w:t>
      </w:r>
    </w:p>
    <w:p w14:paraId="242A1557"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（三）科技保险补贴险种</w:t>
      </w:r>
    </w:p>
    <w:p w14:paraId="7D8168F1" w14:textId="77777777" w:rsidR="00896EA8" w:rsidRDefault="00000000">
      <w:pPr>
        <w:widowControl/>
        <w:spacing w:line="560" w:lineRule="atLeast"/>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t>补贴险种为保险公司经国家金融监督管理总局及其派出机构批复或备案、可合法销售的保险产品，分为三大类别：</w:t>
      </w:r>
    </w:p>
    <w:p w14:paraId="68A3EA8C"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kern w:val="0"/>
          <w:sz w:val="32"/>
          <w:szCs w:val="32"/>
          <w:lang w:bidi="ar"/>
        </w:rPr>
        <w:t>（</w:t>
      </w:r>
      <w:r>
        <w:rPr>
          <w:rFonts w:ascii="Times New Roman" w:eastAsia="仿宋_GB2312" w:hAnsi="Times New Roman" w:cs="Times New Roman"/>
          <w:b/>
          <w:bCs/>
          <w:color w:val="000000"/>
          <w:kern w:val="0"/>
          <w:sz w:val="32"/>
          <w:szCs w:val="32"/>
          <w:lang w:bidi="ar"/>
        </w:rPr>
        <w:t>1</w:t>
      </w:r>
      <w:r>
        <w:rPr>
          <w:rFonts w:ascii="Times New Roman" w:eastAsia="仿宋_GB2312" w:hAnsi="Times New Roman" w:cs="Times New Roman"/>
          <w:b/>
          <w:bCs/>
          <w:color w:val="000000"/>
          <w:kern w:val="0"/>
          <w:sz w:val="32"/>
          <w:szCs w:val="32"/>
          <w:lang w:bidi="ar"/>
        </w:rPr>
        <w:t>）</w:t>
      </w:r>
      <w:r>
        <w:rPr>
          <w:rFonts w:ascii="Times New Roman" w:eastAsia="仿宋_GB2312" w:hAnsi="Times New Roman" w:cs="Times New Roman"/>
          <w:b/>
          <w:bCs/>
          <w:color w:val="000000"/>
          <w:sz w:val="32"/>
          <w:szCs w:val="32"/>
        </w:rPr>
        <w:t>重点引导类</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14</w:t>
      </w:r>
      <w:r>
        <w:rPr>
          <w:rFonts w:ascii="Times New Roman" w:eastAsia="仿宋_GB2312" w:hAnsi="Times New Roman" w:cs="Times New Roman"/>
          <w:color w:val="000000"/>
          <w:sz w:val="32"/>
          <w:szCs w:val="32"/>
        </w:rPr>
        <w:t>个）</w:t>
      </w:r>
    </w:p>
    <w:p w14:paraId="7369E695"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关键研发设备保险</w:t>
      </w:r>
    </w:p>
    <w:p w14:paraId="40BFC748"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营业中断保险</w:t>
      </w:r>
    </w:p>
    <w:p w14:paraId="184CF764"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产品研发责任保险</w:t>
      </w:r>
    </w:p>
    <w:p w14:paraId="5BBB6FD3"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产品责任保险</w:t>
      </w:r>
    </w:p>
    <w:p w14:paraId="40BDC9D8"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高管人员和关键研发人员团体健康和意外保险</w:t>
      </w:r>
    </w:p>
    <w:p w14:paraId="4BF5354A"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专利保险（</w:t>
      </w:r>
      <w:proofErr w:type="gramStart"/>
      <w:r>
        <w:rPr>
          <w:rFonts w:ascii="Times New Roman" w:eastAsia="仿宋_GB2312" w:hAnsi="Times New Roman" w:cs="Times New Roman"/>
          <w:color w:val="000000"/>
          <w:sz w:val="32"/>
          <w:szCs w:val="32"/>
        </w:rPr>
        <w:t>含专利</w:t>
      </w:r>
      <w:proofErr w:type="gramEnd"/>
      <w:r>
        <w:rPr>
          <w:rFonts w:ascii="Times New Roman" w:eastAsia="仿宋_GB2312" w:hAnsi="Times New Roman" w:cs="Times New Roman"/>
          <w:color w:val="000000"/>
          <w:sz w:val="32"/>
          <w:szCs w:val="32"/>
        </w:rPr>
        <w:t>执行、被侵权损失和代理责任保险）</w:t>
      </w:r>
    </w:p>
    <w:p w14:paraId="190A3F36"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项目投资损失保险</w:t>
      </w:r>
    </w:p>
    <w:p w14:paraId="3927C09A"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研发费用损失保险</w:t>
      </w:r>
    </w:p>
    <w:p w14:paraId="4514A072"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成果转化费用损失保险</w:t>
      </w:r>
    </w:p>
    <w:p w14:paraId="435C20B6"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无人智能设备保险</w:t>
      </w:r>
    </w:p>
    <w:p w14:paraId="405FC427"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通用航空保险</w:t>
      </w:r>
    </w:p>
    <w:p w14:paraId="34F4E46F"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临床试验责任保险</w:t>
      </w:r>
    </w:p>
    <w:p w14:paraId="31EC4F1E"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药物临床试验责任保险</w:t>
      </w:r>
    </w:p>
    <w:p w14:paraId="51A3EEBD" w14:textId="77777777" w:rsidR="00896EA8" w:rsidRDefault="00000000">
      <w:pPr>
        <w:widowControl/>
        <w:numPr>
          <w:ilvl w:val="0"/>
          <w:numId w:val="1"/>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疫苗质量综合责任保险</w:t>
      </w:r>
    </w:p>
    <w:p w14:paraId="190AB562"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w:t>
      </w:r>
      <w:r>
        <w:rPr>
          <w:rFonts w:ascii="Times New Roman" w:eastAsia="仿宋_GB2312" w:hAnsi="Times New Roman" w:cs="Times New Roman"/>
          <w:b/>
          <w:bCs/>
          <w:color w:val="000000"/>
          <w:sz w:val="32"/>
          <w:szCs w:val="32"/>
        </w:rPr>
        <w:t>2</w:t>
      </w:r>
      <w:r>
        <w:rPr>
          <w:rFonts w:ascii="Times New Roman" w:eastAsia="仿宋_GB2312" w:hAnsi="Times New Roman" w:cs="Times New Roman"/>
          <w:b/>
          <w:bCs/>
          <w:color w:val="000000"/>
          <w:sz w:val="32"/>
          <w:szCs w:val="32"/>
        </w:rPr>
        <w:t>）</w:t>
      </w:r>
      <w:proofErr w:type="gramStart"/>
      <w:r>
        <w:rPr>
          <w:rFonts w:ascii="Times New Roman" w:eastAsia="仿宋_GB2312" w:hAnsi="Times New Roman" w:cs="Times New Roman"/>
          <w:b/>
          <w:bCs/>
          <w:color w:val="000000"/>
          <w:sz w:val="32"/>
          <w:szCs w:val="32"/>
        </w:rPr>
        <w:t>一般引导类</w:t>
      </w:r>
      <w:proofErr w:type="gramEnd"/>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个）</w:t>
      </w:r>
    </w:p>
    <w:p w14:paraId="4ADD3995"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产品质量保证保险</w:t>
      </w:r>
    </w:p>
    <w:p w14:paraId="23F6DFD3"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董事会监事会高级管理人员执业责任保险</w:t>
      </w:r>
    </w:p>
    <w:p w14:paraId="50F55B32"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雇主责任保险</w:t>
      </w:r>
    </w:p>
    <w:p w14:paraId="6FB87A2F"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环境污染责任保险</w:t>
      </w:r>
    </w:p>
    <w:p w14:paraId="133441EE"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财产保险（含财产基本险、财产综合险、财产一切险和机器设备损坏险）</w:t>
      </w:r>
    </w:p>
    <w:p w14:paraId="56D20DD1"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安全生产责任保险</w:t>
      </w:r>
    </w:p>
    <w:p w14:paraId="5368FA45"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团体意外伤害保险和重大疾病保险（</w:t>
      </w:r>
      <w:proofErr w:type="gramStart"/>
      <w:r>
        <w:rPr>
          <w:rFonts w:ascii="Times New Roman" w:eastAsia="仿宋_GB2312" w:hAnsi="Times New Roman" w:cs="Times New Roman"/>
          <w:color w:val="000000"/>
          <w:sz w:val="32"/>
          <w:szCs w:val="32"/>
        </w:rPr>
        <w:t>含海外</w:t>
      </w:r>
      <w:proofErr w:type="gramEnd"/>
      <w:r>
        <w:rPr>
          <w:rFonts w:ascii="Times New Roman" w:eastAsia="仿宋_GB2312" w:hAnsi="Times New Roman" w:cs="Times New Roman"/>
          <w:color w:val="000000"/>
          <w:sz w:val="32"/>
          <w:szCs w:val="32"/>
        </w:rPr>
        <w:t>务工、差旅人员意外险）</w:t>
      </w:r>
    </w:p>
    <w:p w14:paraId="7D55FFC1"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贸易信用保险（含出口贸易信用保险和国内贸易信用保险）</w:t>
      </w:r>
    </w:p>
    <w:p w14:paraId="67419562"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网络安全保险</w:t>
      </w:r>
    </w:p>
    <w:p w14:paraId="5A0CBD9F"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公众责任保险</w:t>
      </w:r>
    </w:p>
    <w:p w14:paraId="35D3619E" w14:textId="77777777" w:rsidR="00896EA8" w:rsidRDefault="00000000">
      <w:pPr>
        <w:widowControl/>
        <w:numPr>
          <w:ilvl w:val="0"/>
          <w:numId w:val="2"/>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货物运输保险</w:t>
      </w:r>
    </w:p>
    <w:p w14:paraId="0954B09C"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w:t>
      </w:r>
      <w:r>
        <w:rPr>
          <w:rFonts w:ascii="Times New Roman" w:eastAsia="仿宋_GB2312" w:hAnsi="Times New Roman" w:cs="Times New Roman"/>
          <w:b/>
          <w:bCs/>
          <w:color w:val="000000"/>
          <w:sz w:val="32"/>
          <w:szCs w:val="32"/>
        </w:rPr>
        <w:t>3</w:t>
      </w:r>
      <w:r>
        <w:rPr>
          <w:rFonts w:ascii="Times New Roman" w:eastAsia="仿宋_GB2312" w:hAnsi="Times New Roman" w:cs="Times New Roman"/>
          <w:b/>
          <w:bCs/>
          <w:color w:val="000000"/>
          <w:sz w:val="32"/>
          <w:szCs w:val="32"/>
        </w:rPr>
        <w:t>）</w:t>
      </w:r>
      <w:r>
        <w:rPr>
          <w:rFonts w:ascii="Times New Roman" w:eastAsia="仿宋_GB2312" w:hAnsi="Times New Roman" w:cs="Times New Roman"/>
          <w:b/>
          <w:bCs/>
          <w:color w:val="000000"/>
          <w:sz w:val="32"/>
          <w:szCs w:val="32"/>
        </w:rPr>
        <w:t>“</w:t>
      </w:r>
      <w:r>
        <w:rPr>
          <w:rFonts w:ascii="Times New Roman" w:eastAsia="仿宋_GB2312" w:hAnsi="Times New Roman" w:cs="Times New Roman"/>
          <w:b/>
          <w:bCs/>
          <w:color w:val="000000"/>
          <w:sz w:val="32"/>
          <w:szCs w:val="32"/>
        </w:rPr>
        <w:t>三首</w:t>
      </w:r>
      <w:r>
        <w:rPr>
          <w:rFonts w:ascii="Times New Roman" w:eastAsia="仿宋_GB2312" w:hAnsi="Times New Roman" w:cs="Times New Roman"/>
          <w:b/>
          <w:bCs/>
          <w:color w:val="000000"/>
          <w:sz w:val="32"/>
          <w:szCs w:val="32"/>
        </w:rPr>
        <w:t>”</w:t>
      </w:r>
      <w:r>
        <w:rPr>
          <w:rFonts w:ascii="Times New Roman" w:eastAsia="仿宋_GB2312" w:hAnsi="Times New Roman" w:cs="Times New Roman"/>
          <w:b/>
          <w:bCs/>
          <w:color w:val="000000"/>
          <w:sz w:val="32"/>
          <w:szCs w:val="32"/>
        </w:rPr>
        <w:t>类</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个）</w:t>
      </w:r>
    </w:p>
    <w:p w14:paraId="11080BB8" w14:textId="77777777" w:rsidR="00896EA8" w:rsidRDefault="00000000">
      <w:pPr>
        <w:widowControl/>
        <w:numPr>
          <w:ilvl w:val="0"/>
          <w:numId w:val="3"/>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首台（套）重大技术装备试验保险</w:t>
      </w:r>
    </w:p>
    <w:p w14:paraId="7CB64A69" w14:textId="77777777" w:rsidR="00896EA8" w:rsidRDefault="00000000">
      <w:pPr>
        <w:widowControl/>
        <w:numPr>
          <w:ilvl w:val="0"/>
          <w:numId w:val="3"/>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首台（套）重大技术装备质量保证保险</w:t>
      </w:r>
    </w:p>
    <w:p w14:paraId="7851A3AA" w14:textId="77777777" w:rsidR="00896EA8" w:rsidRDefault="00000000">
      <w:pPr>
        <w:widowControl/>
        <w:numPr>
          <w:ilvl w:val="0"/>
          <w:numId w:val="3"/>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首台（套）重大技术装备产品责任保险</w:t>
      </w:r>
    </w:p>
    <w:p w14:paraId="6F00A4F8" w14:textId="77777777" w:rsidR="00896EA8" w:rsidRDefault="00000000">
      <w:pPr>
        <w:widowControl/>
        <w:numPr>
          <w:ilvl w:val="0"/>
          <w:numId w:val="3"/>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首台（套）重大技术装备机器损坏保险</w:t>
      </w:r>
    </w:p>
    <w:p w14:paraId="06C5B3CF" w14:textId="77777777" w:rsidR="00896EA8" w:rsidRDefault="00000000">
      <w:pPr>
        <w:widowControl/>
        <w:numPr>
          <w:ilvl w:val="0"/>
          <w:numId w:val="3"/>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首台（套）重大技术装备安装工程及第三者责任保险</w:t>
      </w:r>
    </w:p>
    <w:p w14:paraId="698FCD76" w14:textId="77777777" w:rsidR="00896EA8" w:rsidRDefault="00000000">
      <w:pPr>
        <w:widowControl/>
        <w:numPr>
          <w:ilvl w:val="0"/>
          <w:numId w:val="3"/>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首台（套）重大技术装备综合保险</w:t>
      </w:r>
    </w:p>
    <w:p w14:paraId="4CCA09B9" w14:textId="77777777" w:rsidR="00896EA8" w:rsidRDefault="00000000">
      <w:pPr>
        <w:widowControl/>
        <w:numPr>
          <w:ilvl w:val="0"/>
          <w:numId w:val="3"/>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重点新材料首批</w:t>
      </w:r>
      <w:proofErr w:type="gramStart"/>
      <w:r>
        <w:rPr>
          <w:rFonts w:ascii="Times New Roman" w:eastAsia="仿宋_GB2312" w:hAnsi="Times New Roman" w:cs="Times New Roman"/>
          <w:color w:val="000000"/>
          <w:sz w:val="32"/>
          <w:szCs w:val="32"/>
        </w:rPr>
        <w:t>次应用</w:t>
      </w:r>
      <w:proofErr w:type="gramEnd"/>
      <w:r>
        <w:rPr>
          <w:rFonts w:ascii="Times New Roman" w:eastAsia="仿宋_GB2312" w:hAnsi="Times New Roman" w:cs="Times New Roman"/>
          <w:color w:val="000000"/>
          <w:sz w:val="32"/>
          <w:szCs w:val="32"/>
        </w:rPr>
        <w:t>综合保险</w:t>
      </w:r>
    </w:p>
    <w:p w14:paraId="7DE3E096" w14:textId="77777777" w:rsidR="00896EA8" w:rsidRDefault="00000000">
      <w:pPr>
        <w:widowControl/>
        <w:numPr>
          <w:ilvl w:val="0"/>
          <w:numId w:val="3"/>
        </w:numPr>
        <w:spacing w:line="560" w:lineRule="atLeas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软件首版次质量安全责任保险</w:t>
      </w:r>
    </w:p>
    <w:p w14:paraId="2A2BC74A"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（四）险种动态调整机制</w:t>
      </w:r>
    </w:p>
    <w:p w14:paraId="6C8931D4"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1.</w:t>
      </w:r>
      <w:r>
        <w:rPr>
          <w:rFonts w:ascii="Times New Roman" w:eastAsia="楷体_GB2312" w:hAnsi="Times New Roman" w:cs="Times New Roman"/>
          <w:color w:val="000000"/>
          <w:sz w:val="32"/>
          <w:szCs w:val="32"/>
        </w:rPr>
        <w:t>常规申报：</w:t>
      </w:r>
      <w:r>
        <w:rPr>
          <w:rFonts w:ascii="Times New Roman" w:eastAsia="仿宋_GB2312" w:hAnsi="Times New Roman" w:cs="Times New Roman"/>
          <w:color w:val="000000"/>
          <w:sz w:val="32"/>
          <w:szCs w:val="32"/>
        </w:rPr>
        <w:t>保险公司新增符合条件的科技保险险种，每年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月集中向市科技局申报纳入补贴范围；</w:t>
      </w:r>
    </w:p>
    <w:p w14:paraId="66498AF3"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2.</w:t>
      </w:r>
      <w:r>
        <w:rPr>
          <w:rFonts w:ascii="Times New Roman" w:eastAsia="楷体_GB2312" w:hAnsi="Times New Roman" w:cs="Times New Roman"/>
          <w:color w:val="000000"/>
          <w:sz w:val="32"/>
          <w:szCs w:val="32"/>
        </w:rPr>
        <w:t>季度补报：</w:t>
      </w:r>
      <w:r>
        <w:rPr>
          <w:rFonts w:ascii="Times New Roman" w:eastAsia="仿宋_GB2312" w:hAnsi="Times New Roman" w:cs="Times New Roman"/>
          <w:color w:val="000000"/>
          <w:sz w:val="32"/>
          <w:szCs w:val="32"/>
        </w:rPr>
        <w:t>中途新增的适配企业需求、符合政策导向的险种，可于每季度末补报，由市科技局牵头在</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个工作日内完成多部门会审；</w:t>
      </w:r>
    </w:p>
    <w:p w14:paraId="2E646CB6"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3.</w:t>
      </w:r>
      <w:r>
        <w:rPr>
          <w:rFonts w:ascii="Times New Roman" w:eastAsia="楷体_GB2312" w:hAnsi="Times New Roman" w:cs="Times New Roman"/>
          <w:color w:val="000000"/>
          <w:sz w:val="32"/>
          <w:szCs w:val="32"/>
        </w:rPr>
        <w:t>退出机制：</w:t>
      </w:r>
      <w:r>
        <w:rPr>
          <w:rFonts w:ascii="Times New Roman" w:eastAsia="仿宋_GB2312" w:hAnsi="Times New Roman" w:cs="Times New Roman"/>
          <w:color w:val="000000"/>
          <w:sz w:val="32"/>
          <w:szCs w:val="32"/>
        </w:rPr>
        <w:t>对市场需求极少、赔付率异常或不符合科技创新发展导向的险种，经评估后及时退出补贴目录，确保资金使用效能。</w:t>
      </w:r>
    </w:p>
    <w:p w14:paraId="5DAB5330"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（五）保费补贴标准与规则</w:t>
      </w:r>
    </w:p>
    <w:p w14:paraId="10A346CF"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1.</w:t>
      </w:r>
      <w:r>
        <w:rPr>
          <w:rFonts w:ascii="Times New Roman" w:eastAsia="楷体_GB2312" w:hAnsi="Times New Roman" w:cs="Times New Roman"/>
          <w:color w:val="000000"/>
          <w:sz w:val="32"/>
          <w:szCs w:val="32"/>
        </w:rPr>
        <w:t>基础补贴比例：</w:t>
      </w:r>
      <w:r>
        <w:rPr>
          <w:rFonts w:ascii="Times New Roman" w:eastAsia="仿宋_GB2312" w:hAnsi="Times New Roman" w:cs="Times New Roman"/>
          <w:color w:val="000000"/>
          <w:sz w:val="32"/>
          <w:szCs w:val="32"/>
        </w:rPr>
        <w:t>不同险种类别的补贴比例不同，具体为：</w:t>
      </w:r>
    </w:p>
    <w:p w14:paraId="62E03C07"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①</w:t>
      </w:r>
      <w:r>
        <w:rPr>
          <w:rFonts w:ascii="Times New Roman" w:eastAsia="仿宋_GB2312" w:hAnsi="Times New Roman" w:cs="Times New Roman"/>
          <w:color w:val="000000"/>
          <w:sz w:val="32"/>
          <w:szCs w:val="32"/>
        </w:rPr>
        <w:t>重点引导类，按实际保费支出的</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给予补贴；</w:t>
      </w:r>
    </w:p>
    <w:p w14:paraId="4F6BC7A9"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②</w:t>
      </w:r>
      <w:proofErr w:type="gramStart"/>
      <w:r>
        <w:rPr>
          <w:rFonts w:ascii="Times New Roman" w:eastAsia="仿宋_GB2312" w:hAnsi="Times New Roman" w:cs="Times New Roman"/>
          <w:color w:val="000000"/>
          <w:sz w:val="32"/>
          <w:szCs w:val="32"/>
        </w:rPr>
        <w:t>一般引导类</w:t>
      </w:r>
      <w:proofErr w:type="gramEnd"/>
      <w:r>
        <w:rPr>
          <w:rFonts w:ascii="Times New Roman" w:eastAsia="仿宋_GB2312" w:hAnsi="Times New Roman" w:cs="Times New Roman"/>
          <w:color w:val="000000"/>
          <w:sz w:val="32"/>
          <w:szCs w:val="32"/>
        </w:rPr>
        <w:t>，按实际保费支出的</w:t>
      </w:r>
      <w:r>
        <w:rPr>
          <w:rFonts w:ascii="Times New Roman" w:eastAsia="仿宋_GB2312" w:hAnsi="Times New Roman" w:cs="Times New Roman"/>
          <w:color w:val="000000"/>
          <w:sz w:val="32"/>
          <w:szCs w:val="32"/>
        </w:rPr>
        <w:t>40%</w:t>
      </w:r>
      <w:r>
        <w:rPr>
          <w:rFonts w:ascii="Times New Roman" w:eastAsia="仿宋_GB2312" w:hAnsi="Times New Roman" w:cs="Times New Roman"/>
          <w:color w:val="000000"/>
          <w:sz w:val="32"/>
          <w:szCs w:val="32"/>
        </w:rPr>
        <w:t>给予补贴；</w:t>
      </w:r>
    </w:p>
    <w:p w14:paraId="74D7868B"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③“</w:t>
      </w:r>
      <w:r>
        <w:rPr>
          <w:rFonts w:ascii="Times New Roman" w:eastAsia="仿宋_GB2312" w:hAnsi="Times New Roman" w:cs="Times New Roman"/>
          <w:color w:val="000000"/>
          <w:sz w:val="32"/>
          <w:szCs w:val="32"/>
        </w:rPr>
        <w:t>三首</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类，按实际保费支出（须扣除国家、省级补贴后）的</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给予补贴。已享受上级补贴的部分不再重复补贴。</w:t>
      </w:r>
    </w:p>
    <w:p w14:paraId="0B516EC5" w14:textId="77777777" w:rsidR="00896EA8" w:rsidRDefault="00000000">
      <w:pPr>
        <w:widowControl/>
        <w:spacing w:line="560" w:lineRule="atLeas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lastRenderedPageBreak/>
        <w:t>2.</w:t>
      </w:r>
      <w:r>
        <w:rPr>
          <w:rFonts w:ascii="Times New Roman" w:eastAsia="楷体_GB2312" w:hAnsi="Times New Roman" w:cs="Times New Roman"/>
          <w:color w:val="000000"/>
          <w:sz w:val="32"/>
          <w:szCs w:val="32"/>
        </w:rPr>
        <w:t>叠加补贴规则</w:t>
      </w:r>
    </w:p>
    <w:p w14:paraId="4E13412D"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①</w:t>
      </w:r>
      <w:r>
        <w:rPr>
          <w:rFonts w:ascii="Times New Roman" w:eastAsia="仿宋_GB2312" w:hAnsi="Times New Roman" w:cs="Times New Roman"/>
          <w:color w:val="000000"/>
          <w:sz w:val="32"/>
          <w:szCs w:val="32"/>
        </w:rPr>
        <w:t>企业每新增</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个相关认定资质（如高新技术企业、专精特新企业等），补贴比例上浮</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，最高上浮</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w:t>
      </w:r>
    </w:p>
    <w:p w14:paraId="53B82B5F"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②</w:t>
      </w:r>
      <w:r>
        <w:rPr>
          <w:rFonts w:ascii="Times New Roman" w:eastAsia="仿宋_GB2312" w:hAnsi="Times New Roman" w:cs="Times New Roman"/>
          <w:color w:val="000000"/>
          <w:sz w:val="32"/>
          <w:szCs w:val="32"/>
        </w:rPr>
        <w:t>军民科技协同创新企业（单位）经相应主管部门资质认定，且符合以上补贴险种的，直接按最高标准上浮</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w:t>
      </w:r>
      <w:proofErr w:type="gramStart"/>
      <w:r>
        <w:rPr>
          <w:rFonts w:ascii="Times New Roman" w:eastAsia="仿宋_GB2312" w:hAnsi="Times New Roman" w:cs="Times New Roman"/>
          <w:color w:val="000000"/>
          <w:sz w:val="32"/>
          <w:szCs w:val="32"/>
        </w:rPr>
        <w:t>不</w:t>
      </w:r>
      <w:proofErr w:type="gramEnd"/>
      <w:r>
        <w:rPr>
          <w:rFonts w:ascii="Times New Roman" w:eastAsia="仿宋_GB2312" w:hAnsi="Times New Roman" w:cs="Times New Roman"/>
          <w:color w:val="000000"/>
          <w:sz w:val="32"/>
          <w:szCs w:val="32"/>
        </w:rPr>
        <w:t>与其他资质上浮叠加。</w:t>
      </w:r>
    </w:p>
    <w:p w14:paraId="5B64B50D" w14:textId="77777777" w:rsidR="00896EA8" w:rsidRDefault="00000000">
      <w:pPr>
        <w:widowControl/>
        <w:spacing w:line="560" w:lineRule="atLeas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3.</w:t>
      </w:r>
      <w:r>
        <w:rPr>
          <w:rFonts w:ascii="Times New Roman" w:eastAsia="楷体_GB2312" w:hAnsi="Times New Roman" w:cs="Times New Roman"/>
          <w:color w:val="000000"/>
          <w:sz w:val="32"/>
          <w:szCs w:val="32"/>
        </w:rPr>
        <w:t>补贴限额规定</w:t>
      </w:r>
    </w:p>
    <w:p w14:paraId="41828FE2"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按工信部企业规模划分标准，大型企业年度最高补贴不超过</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万元，中型企业不超过</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万元，小型企业不超过</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w:t>
      </w:r>
    </w:p>
    <w:p w14:paraId="48D6BAFA"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同一企业同一保险项目已享受其他财政保费补贴的，各项补贴总额不得超过实际保费支出的</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，避免重复补贴。</w:t>
      </w:r>
    </w:p>
    <w:p w14:paraId="70CFD58B"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（六）补贴资金来源</w:t>
      </w:r>
    </w:p>
    <w:p w14:paraId="704035B2"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符合保费补贴条件的市辖区（园区）范围内的相关单位，在按照保险经办机构的保险条款全额缴纳保费的基础上，按市与辖区（园区）财政体制，由市、区（园区）两级财政各承担保费补贴的</w:t>
      </w:r>
      <w:r>
        <w:rPr>
          <w:rFonts w:ascii="Times New Roman" w:eastAsia="仿宋_GB2312" w:hAnsi="Times New Roman" w:cs="Times New Roman" w:hint="eastAsia"/>
          <w:color w:val="000000"/>
          <w:sz w:val="32"/>
          <w:szCs w:val="32"/>
        </w:rPr>
        <w:t>30%</w:t>
      </w:r>
      <w:r>
        <w:rPr>
          <w:rFonts w:ascii="Times New Roman" w:eastAsia="仿宋_GB2312" w:hAnsi="Times New Roman" w:cs="Times New Roman" w:hint="eastAsia"/>
          <w:color w:val="000000"/>
          <w:sz w:val="32"/>
          <w:szCs w:val="32"/>
        </w:rPr>
        <w:t>和</w:t>
      </w:r>
      <w:r>
        <w:rPr>
          <w:rFonts w:ascii="Times New Roman" w:eastAsia="仿宋_GB2312" w:hAnsi="Times New Roman" w:cs="Times New Roman" w:hint="eastAsia"/>
          <w:color w:val="000000"/>
          <w:sz w:val="32"/>
          <w:szCs w:val="32"/>
        </w:rPr>
        <w:t>70%</w:t>
      </w:r>
      <w:r>
        <w:rPr>
          <w:rFonts w:ascii="Times New Roman" w:eastAsia="仿宋_GB2312" w:hAnsi="Times New Roman" w:cs="Times New Roman" w:hint="eastAsia"/>
          <w:color w:val="000000"/>
          <w:sz w:val="32"/>
          <w:szCs w:val="32"/>
        </w:rPr>
        <w:t>。市财政先统一兑付，区（园区）承担部分专项上解市财政。</w:t>
      </w:r>
    </w:p>
    <w:p w14:paraId="6A58E5C6"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（七）补贴申报与审核流程</w:t>
      </w:r>
    </w:p>
    <w:p w14:paraId="6F73BD5C"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1.</w:t>
      </w:r>
      <w:r>
        <w:rPr>
          <w:rFonts w:ascii="Times New Roman" w:eastAsia="楷体_GB2312" w:hAnsi="Times New Roman" w:cs="Times New Roman"/>
          <w:color w:val="000000"/>
          <w:sz w:val="32"/>
          <w:szCs w:val="32"/>
        </w:rPr>
        <w:t>申报启动：</w:t>
      </w:r>
      <w:r>
        <w:rPr>
          <w:rFonts w:ascii="Times New Roman" w:eastAsia="仿宋_GB2312" w:hAnsi="Times New Roman" w:cs="Times New Roman"/>
          <w:color w:val="000000"/>
          <w:sz w:val="32"/>
          <w:szCs w:val="32"/>
        </w:rPr>
        <w:t>市科技局、市委融办、市财政局联合发布专项资金申报指南，明确申报时限、材料要求等；</w:t>
      </w:r>
    </w:p>
    <w:p w14:paraId="463469DC"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lastRenderedPageBreak/>
        <w:t>2.</w:t>
      </w:r>
      <w:r>
        <w:rPr>
          <w:rFonts w:ascii="Times New Roman" w:eastAsia="楷体_GB2312" w:hAnsi="Times New Roman" w:cs="Times New Roman"/>
          <w:color w:val="000000"/>
          <w:sz w:val="32"/>
          <w:szCs w:val="32"/>
        </w:rPr>
        <w:t>材料报送：</w:t>
      </w:r>
      <w:r>
        <w:rPr>
          <w:rFonts w:ascii="Times New Roman" w:eastAsia="仿宋_GB2312" w:hAnsi="Times New Roman" w:cs="Times New Roman"/>
          <w:color w:val="000000"/>
          <w:sz w:val="32"/>
          <w:szCs w:val="32"/>
        </w:rPr>
        <w:t>承保公司市（支）公司收集投保企业资料（含保单、保费发票、转账回单、营业执照、相关资质证书、承保承诺书等），整理形成</w:t>
      </w:r>
      <w:r>
        <w:rPr>
          <w:rFonts w:ascii="Times New Roman" w:eastAsia="仿宋_GB2312" w:hAnsi="Times New Roman" w:cs="Times New Roman"/>
          <w:color w:val="000000"/>
          <w:sz w:val="32"/>
          <w:szCs w:val="32"/>
        </w:rPr>
        <w:t>PDF</w:t>
      </w:r>
      <w:r>
        <w:rPr>
          <w:rFonts w:ascii="Times New Roman" w:eastAsia="仿宋_GB2312" w:hAnsi="Times New Roman" w:cs="Times New Roman"/>
          <w:color w:val="000000"/>
          <w:sz w:val="32"/>
          <w:szCs w:val="32"/>
        </w:rPr>
        <w:t>电子版报送市科技局、市委融办；</w:t>
      </w:r>
    </w:p>
    <w:p w14:paraId="63CDE513"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3.</w:t>
      </w:r>
      <w:r>
        <w:rPr>
          <w:rFonts w:ascii="Times New Roman" w:eastAsia="楷体_GB2312" w:hAnsi="Times New Roman" w:cs="Times New Roman"/>
          <w:color w:val="000000"/>
          <w:sz w:val="32"/>
          <w:szCs w:val="32"/>
        </w:rPr>
        <w:t>审核流程：</w:t>
      </w:r>
      <w:r>
        <w:rPr>
          <w:rFonts w:ascii="Times New Roman" w:eastAsia="仿宋_GB2312" w:hAnsi="Times New Roman" w:cs="Times New Roman"/>
          <w:color w:val="000000"/>
          <w:sz w:val="32"/>
          <w:szCs w:val="32"/>
        </w:rPr>
        <w:t>市科技局或</w:t>
      </w:r>
      <w:proofErr w:type="gramStart"/>
      <w:r>
        <w:rPr>
          <w:rFonts w:ascii="Times New Roman" w:eastAsia="仿宋_GB2312" w:hAnsi="Times New Roman" w:cs="Times New Roman"/>
          <w:color w:val="000000"/>
          <w:sz w:val="32"/>
          <w:szCs w:val="32"/>
        </w:rPr>
        <w:t>市委融办汇总</w:t>
      </w:r>
      <w:proofErr w:type="gramEnd"/>
      <w:r>
        <w:rPr>
          <w:rFonts w:ascii="Times New Roman" w:eastAsia="仿宋_GB2312" w:hAnsi="Times New Roman" w:cs="Times New Roman"/>
          <w:color w:val="000000"/>
          <w:sz w:val="32"/>
          <w:szCs w:val="32"/>
        </w:rPr>
        <w:t>材料后，组织财政、金融监管等部门开展会评审核，审核结果公示不少于</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个工作日，公示无异议后按程序审议；</w:t>
      </w:r>
    </w:p>
    <w:p w14:paraId="6CDA0708"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4.</w:t>
      </w:r>
      <w:r>
        <w:rPr>
          <w:rFonts w:ascii="Times New Roman" w:eastAsia="楷体_GB2312" w:hAnsi="Times New Roman" w:cs="Times New Roman"/>
          <w:color w:val="000000"/>
          <w:sz w:val="32"/>
          <w:szCs w:val="32"/>
        </w:rPr>
        <w:t>资金拨付：</w:t>
      </w:r>
      <w:r>
        <w:rPr>
          <w:rFonts w:ascii="Times New Roman" w:eastAsia="仿宋_GB2312" w:hAnsi="Times New Roman" w:cs="Times New Roman"/>
          <w:color w:val="000000"/>
          <w:sz w:val="32"/>
          <w:szCs w:val="32"/>
        </w:rPr>
        <w:t>市财政补贴资金下达后，由市科技局或</w:t>
      </w:r>
      <w:proofErr w:type="gramStart"/>
      <w:r>
        <w:rPr>
          <w:rFonts w:ascii="Times New Roman" w:eastAsia="仿宋_GB2312" w:hAnsi="Times New Roman" w:cs="Times New Roman"/>
          <w:color w:val="000000"/>
          <w:sz w:val="32"/>
          <w:szCs w:val="32"/>
        </w:rPr>
        <w:t>市委融办统一</w:t>
      </w:r>
      <w:proofErr w:type="gramEnd"/>
      <w:r>
        <w:rPr>
          <w:rFonts w:ascii="Times New Roman" w:eastAsia="仿宋_GB2312" w:hAnsi="Times New Roman" w:cs="Times New Roman"/>
          <w:color w:val="000000"/>
          <w:sz w:val="32"/>
          <w:szCs w:val="32"/>
        </w:rPr>
        <w:t>拨付至投保企业指定账户，确保资金直达快享。</w:t>
      </w:r>
    </w:p>
    <w:p w14:paraId="034CA4C9"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（八）配套支持政策</w:t>
      </w:r>
    </w:p>
    <w:p w14:paraId="2E5A75A2"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1.</w:t>
      </w:r>
      <w:r>
        <w:rPr>
          <w:rFonts w:ascii="Times New Roman" w:eastAsia="楷体_GB2312" w:hAnsi="Times New Roman" w:cs="Times New Roman"/>
          <w:color w:val="000000"/>
          <w:sz w:val="32"/>
          <w:szCs w:val="32"/>
        </w:rPr>
        <w:t>落实税收优惠</w:t>
      </w:r>
      <w:r>
        <w:rPr>
          <w:rFonts w:ascii="Times New Roman" w:eastAsia="仿宋_GB2312" w:hAnsi="Times New Roman" w:cs="Times New Roman"/>
          <w:color w:val="000000"/>
          <w:sz w:val="32"/>
          <w:szCs w:val="32"/>
        </w:rPr>
        <w:t>：严格执行国家关于科技保险的税收优惠政策，将高新科技研发保险费用按规定纳入企业研发费用，予以税前列支；</w:t>
      </w:r>
    </w:p>
    <w:p w14:paraId="5F5F8DAF"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2.</w:t>
      </w:r>
      <w:r>
        <w:rPr>
          <w:rFonts w:ascii="Times New Roman" w:eastAsia="楷体_GB2312" w:hAnsi="Times New Roman" w:cs="Times New Roman"/>
          <w:color w:val="000000"/>
          <w:sz w:val="32"/>
          <w:szCs w:val="32"/>
        </w:rPr>
        <w:t>优化服务保障：</w:t>
      </w:r>
      <w:r>
        <w:rPr>
          <w:rFonts w:ascii="Times New Roman" w:eastAsia="仿宋_GB2312" w:hAnsi="Times New Roman" w:cs="Times New Roman"/>
          <w:color w:val="000000"/>
          <w:sz w:val="32"/>
          <w:szCs w:val="32"/>
        </w:rPr>
        <w:t>鼓励承保公司建立科技保险专属服务团队，提供风险减量管理服务，开通理赔绿色通道，简化理赔流程，提升服务效率；</w:t>
      </w:r>
    </w:p>
    <w:p w14:paraId="6FCB6E81"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3.</w:t>
      </w:r>
      <w:r>
        <w:rPr>
          <w:rFonts w:ascii="Times New Roman" w:eastAsia="楷体_GB2312" w:hAnsi="Times New Roman" w:cs="Times New Roman"/>
          <w:color w:val="000000"/>
          <w:sz w:val="32"/>
          <w:szCs w:val="32"/>
        </w:rPr>
        <w:t>资源对接服务：</w:t>
      </w:r>
      <w:r>
        <w:rPr>
          <w:rFonts w:ascii="Times New Roman" w:eastAsia="仿宋_GB2312" w:hAnsi="Times New Roman" w:cs="Times New Roman"/>
          <w:color w:val="000000"/>
          <w:sz w:val="32"/>
          <w:szCs w:val="32"/>
        </w:rPr>
        <w:t>搭建企业与承保公司对接平台，定期组织政策宣讲、需求对接会，促进供需精准匹配。</w:t>
      </w:r>
    </w:p>
    <w:p w14:paraId="6A5B3556" w14:textId="77777777" w:rsidR="00896EA8" w:rsidRDefault="00000000">
      <w:pPr>
        <w:pStyle w:val="2"/>
        <w:widowControl/>
        <w:spacing w:beforeAutospacing="0" w:afterAutospacing="0" w:line="560" w:lineRule="atLeast"/>
        <w:ind w:firstLineChars="200" w:firstLine="640"/>
        <w:jc w:val="both"/>
        <w:rPr>
          <w:rFonts w:ascii="Times New Roman" w:eastAsia="黑体" w:hAnsi="Times New Roman" w:hint="default"/>
          <w:b w:val="0"/>
          <w:bCs w:val="0"/>
          <w:color w:val="000000"/>
          <w:sz w:val="32"/>
          <w:szCs w:val="32"/>
        </w:rPr>
      </w:pPr>
      <w:r>
        <w:rPr>
          <w:rFonts w:ascii="Times New Roman" w:eastAsia="黑体" w:hAnsi="Times New Roman" w:hint="default"/>
          <w:b w:val="0"/>
          <w:bCs w:val="0"/>
          <w:color w:val="000000"/>
          <w:sz w:val="32"/>
          <w:szCs w:val="32"/>
        </w:rPr>
        <w:t>四、组织实施与保障</w:t>
      </w:r>
    </w:p>
    <w:p w14:paraId="481A026D"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（一）强化组织协同</w:t>
      </w:r>
    </w:p>
    <w:p w14:paraId="28DBF5CD"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lang w:bidi="ar"/>
        </w:rPr>
        <w:t>建立由市科技局牵头，市委融办、市财政局、绵阳金融监管分局、市保险行业协会及</w:t>
      </w:r>
      <w:r>
        <w:rPr>
          <w:rFonts w:ascii="Times New Roman" w:eastAsia="仿宋_GB2312" w:hAnsi="Times New Roman" w:cs="Times New Roman" w:hint="eastAsia"/>
          <w:color w:val="000000"/>
          <w:sz w:val="32"/>
          <w:szCs w:val="32"/>
        </w:rPr>
        <w:t>市辖区（园区）</w:t>
      </w:r>
      <w:r>
        <w:rPr>
          <w:rFonts w:ascii="Times New Roman" w:eastAsia="仿宋_GB2312" w:hAnsi="Times New Roman" w:cs="Times New Roman"/>
          <w:color w:val="000000"/>
          <w:kern w:val="0"/>
          <w:sz w:val="32"/>
          <w:szCs w:val="32"/>
          <w:lang w:bidi="ar"/>
        </w:rPr>
        <w:t>对口部门参与的科技保险工作协调机制，定期召开工作推进会，解决实施过程中的问题。</w:t>
      </w:r>
    </w:p>
    <w:p w14:paraId="19718A06"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lastRenderedPageBreak/>
        <w:t>（二）明确职责分工</w:t>
      </w:r>
    </w:p>
    <w:p w14:paraId="33C8C5C6" w14:textId="77777777" w:rsidR="00896EA8" w:rsidRDefault="00000000">
      <w:pPr>
        <w:widowControl/>
        <w:spacing w:line="560" w:lineRule="atLeas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1.</w:t>
      </w:r>
      <w:r>
        <w:rPr>
          <w:rFonts w:ascii="Times New Roman" w:eastAsia="楷体_GB2312" w:hAnsi="Times New Roman" w:cs="Times New Roman"/>
          <w:color w:val="000000"/>
          <w:sz w:val="32"/>
          <w:szCs w:val="32"/>
        </w:rPr>
        <w:t>市科技局：</w:t>
      </w:r>
      <w:r>
        <w:rPr>
          <w:rFonts w:ascii="Times New Roman" w:eastAsia="仿宋_GB2312" w:hAnsi="Times New Roman" w:cs="Times New Roman"/>
          <w:color w:val="000000"/>
          <w:sz w:val="32"/>
          <w:szCs w:val="32"/>
        </w:rPr>
        <w:t>牵头统筹科技保险工作，制定实施细则，组织项目申报、会评审核、绩效评价，动态调整补贴险种目录；</w:t>
      </w:r>
    </w:p>
    <w:p w14:paraId="3857FC3F" w14:textId="77777777" w:rsidR="00896EA8" w:rsidRDefault="00000000">
      <w:pPr>
        <w:widowControl/>
        <w:spacing w:line="560" w:lineRule="atLeas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2.</w:t>
      </w:r>
      <w:r>
        <w:rPr>
          <w:rFonts w:ascii="Times New Roman" w:eastAsia="楷体_GB2312" w:hAnsi="Times New Roman" w:cs="Times New Roman"/>
          <w:color w:val="000000"/>
          <w:sz w:val="32"/>
          <w:szCs w:val="32"/>
        </w:rPr>
        <w:t>市委融办：</w:t>
      </w:r>
      <w:r>
        <w:rPr>
          <w:rFonts w:ascii="Times New Roman" w:eastAsia="仿宋_GB2312" w:hAnsi="Times New Roman" w:cs="Times New Roman"/>
          <w:color w:val="000000"/>
          <w:sz w:val="32"/>
          <w:szCs w:val="32"/>
        </w:rPr>
        <w:t>负责组织军民科技协同创新企业（单位）项目申报、会评审核、绩效评价；</w:t>
      </w:r>
    </w:p>
    <w:p w14:paraId="2274C306"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3.</w:t>
      </w:r>
      <w:r>
        <w:rPr>
          <w:rFonts w:ascii="Times New Roman" w:eastAsia="楷体_GB2312" w:hAnsi="Times New Roman" w:cs="Times New Roman"/>
          <w:color w:val="000000"/>
          <w:sz w:val="32"/>
          <w:szCs w:val="32"/>
        </w:rPr>
        <w:t>市财政局：</w:t>
      </w:r>
      <w:r>
        <w:rPr>
          <w:rFonts w:ascii="Times New Roman" w:eastAsia="仿宋_GB2312" w:hAnsi="Times New Roman" w:cs="Times New Roman"/>
          <w:color w:val="000000"/>
          <w:sz w:val="32"/>
          <w:szCs w:val="32"/>
        </w:rPr>
        <w:t>负责补贴资金统筹安排、预算管理，按规定拨付资金，会同相关部门开展资金使用监管；</w:t>
      </w:r>
    </w:p>
    <w:p w14:paraId="746A7141"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4.</w:t>
      </w:r>
      <w:r>
        <w:rPr>
          <w:rFonts w:ascii="Times New Roman" w:eastAsia="楷体_GB2312" w:hAnsi="Times New Roman" w:cs="Times New Roman"/>
          <w:color w:val="000000"/>
          <w:sz w:val="32"/>
          <w:szCs w:val="32"/>
        </w:rPr>
        <w:t>绵阳金融监管分局、市保险行业协会：</w:t>
      </w:r>
      <w:r>
        <w:rPr>
          <w:rFonts w:ascii="Times New Roman" w:eastAsia="仿宋_GB2312" w:hAnsi="Times New Roman" w:cs="Times New Roman"/>
          <w:color w:val="000000"/>
          <w:sz w:val="32"/>
          <w:szCs w:val="32"/>
        </w:rPr>
        <w:t>指导保险机构规范开展业务，加强市场监管，依法查处虚假承保、虚假理赔等违法违规行为，维护市场秩序；</w:t>
      </w:r>
    </w:p>
    <w:p w14:paraId="3287ADAB"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5.</w:t>
      </w:r>
      <w:r>
        <w:rPr>
          <w:rFonts w:ascii="Times New Roman" w:eastAsia="楷体_GB2312" w:hAnsi="Times New Roman" w:cs="Times New Roman"/>
          <w:color w:val="000000"/>
          <w:sz w:val="32"/>
          <w:szCs w:val="32"/>
        </w:rPr>
        <w:t>市辖区（园区）对口部门：</w:t>
      </w:r>
      <w:r>
        <w:rPr>
          <w:rFonts w:ascii="Times New Roman" w:eastAsia="仿宋_GB2312" w:hAnsi="Times New Roman" w:cs="Times New Roman"/>
          <w:color w:val="000000"/>
          <w:sz w:val="32"/>
          <w:szCs w:val="32"/>
        </w:rPr>
        <w:t>摸清辖区企业需求，组织政策宣传和企业投保，做好政策落地衔接，协助开展资料审核；</w:t>
      </w:r>
    </w:p>
    <w:p w14:paraId="1A1E580F"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6.</w:t>
      </w:r>
      <w:r>
        <w:rPr>
          <w:rFonts w:ascii="Times New Roman" w:eastAsia="楷体_GB2312" w:hAnsi="Times New Roman" w:cs="Times New Roman"/>
          <w:color w:val="000000"/>
          <w:sz w:val="32"/>
          <w:szCs w:val="32"/>
        </w:rPr>
        <w:t>承保机构：</w:t>
      </w:r>
      <w:r>
        <w:rPr>
          <w:rFonts w:ascii="Times New Roman" w:eastAsia="仿宋_GB2312" w:hAnsi="Times New Roman" w:cs="Times New Roman"/>
          <w:color w:val="000000"/>
          <w:sz w:val="32"/>
          <w:szCs w:val="32"/>
        </w:rPr>
        <w:t>提供个性化保险方案，精准对接企业需求；规范收集、审核、报送投保资料；建立理赔绿色通道，提高理赔效率；配合开展绩效评价。</w:t>
      </w:r>
    </w:p>
    <w:p w14:paraId="1924F03F"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（三）加强宣传推广</w:t>
      </w:r>
    </w:p>
    <w:p w14:paraId="39216E97"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1.</w:t>
      </w:r>
      <w:r>
        <w:rPr>
          <w:rFonts w:ascii="Times New Roman" w:eastAsia="楷体_GB2312" w:hAnsi="Times New Roman" w:cs="Times New Roman"/>
          <w:color w:val="000000"/>
          <w:sz w:val="32"/>
          <w:szCs w:val="32"/>
        </w:rPr>
        <w:t>多渠道宣传：</w:t>
      </w:r>
      <w:r>
        <w:rPr>
          <w:rFonts w:ascii="Times New Roman" w:eastAsia="仿宋_GB2312" w:hAnsi="Times New Roman" w:cs="Times New Roman"/>
          <w:color w:val="000000"/>
          <w:sz w:val="32"/>
          <w:szCs w:val="32"/>
        </w:rPr>
        <w:t>通过政府官网、公众号、行业协会平台、企业服务群等渠道，常态化宣传政策内容、申报流程、典型案例；</w:t>
      </w:r>
    </w:p>
    <w:p w14:paraId="529C5831"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2.</w:t>
      </w:r>
      <w:r>
        <w:rPr>
          <w:rFonts w:ascii="Times New Roman" w:eastAsia="楷体_GB2312" w:hAnsi="Times New Roman" w:cs="Times New Roman"/>
          <w:color w:val="000000"/>
          <w:sz w:val="32"/>
          <w:szCs w:val="32"/>
        </w:rPr>
        <w:t>精准化培训：</w:t>
      </w:r>
      <w:r>
        <w:rPr>
          <w:rFonts w:ascii="Times New Roman" w:eastAsia="仿宋_GB2312" w:hAnsi="Times New Roman" w:cs="Times New Roman"/>
          <w:color w:val="000000"/>
          <w:sz w:val="32"/>
          <w:szCs w:val="32"/>
        </w:rPr>
        <w:t>承保机构对内开展专题培训，更好地向科技型企业及军民科技协同创新企业（单位）宣传解读政策、险种特性、投保理赔流程等；</w:t>
      </w:r>
    </w:p>
    <w:p w14:paraId="52F038A0"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lastRenderedPageBreak/>
        <w:t>3.</w:t>
      </w:r>
      <w:r>
        <w:rPr>
          <w:rFonts w:ascii="Times New Roman" w:eastAsia="楷体_GB2312" w:hAnsi="Times New Roman" w:cs="Times New Roman"/>
          <w:color w:val="000000"/>
          <w:sz w:val="32"/>
          <w:szCs w:val="32"/>
        </w:rPr>
        <w:t>示范引领：</w:t>
      </w:r>
      <w:r>
        <w:rPr>
          <w:rFonts w:ascii="Times New Roman" w:eastAsia="仿宋_GB2312" w:hAnsi="Times New Roman" w:cs="Times New Roman"/>
          <w:color w:val="000000"/>
          <w:sz w:val="32"/>
          <w:szCs w:val="32"/>
        </w:rPr>
        <w:t>选取投保效果好的企业作为典型案例，总结推广经验，扩大政策知晓度和影响力。</w:t>
      </w:r>
    </w:p>
    <w:p w14:paraId="64B93062" w14:textId="77777777" w:rsidR="00896EA8" w:rsidRDefault="00000000">
      <w:pPr>
        <w:pStyle w:val="3"/>
        <w:widowControl/>
        <w:spacing w:beforeAutospacing="0" w:afterAutospacing="0" w:line="560" w:lineRule="atLeast"/>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（四）严格规范管理</w:t>
      </w:r>
    </w:p>
    <w:p w14:paraId="2F820CC6"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1.</w:t>
      </w:r>
      <w:r>
        <w:rPr>
          <w:rFonts w:ascii="Times New Roman" w:eastAsia="楷体_GB2312" w:hAnsi="Times New Roman" w:cs="Times New Roman"/>
          <w:color w:val="000000"/>
          <w:sz w:val="32"/>
          <w:szCs w:val="32"/>
        </w:rPr>
        <w:t>经办机构管理：</w:t>
      </w:r>
      <w:r>
        <w:rPr>
          <w:rFonts w:ascii="Times New Roman" w:eastAsia="仿宋_GB2312" w:hAnsi="Times New Roman" w:cs="Times New Roman"/>
          <w:color w:val="000000"/>
          <w:sz w:val="32"/>
          <w:szCs w:val="32"/>
        </w:rPr>
        <w:t>承保机构未按要求及时、真实、准确报送资料的，第一次予以通报批评；第二次取消经办资格，抄送监管部门，三年内不得重新申请加入；</w:t>
      </w:r>
    </w:p>
    <w:p w14:paraId="2B30D45C"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2.</w:t>
      </w:r>
      <w:r>
        <w:rPr>
          <w:rFonts w:ascii="Times New Roman" w:eastAsia="楷体_GB2312" w:hAnsi="Times New Roman" w:cs="Times New Roman"/>
          <w:color w:val="000000"/>
          <w:sz w:val="32"/>
          <w:szCs w:val="32"/>
        </w:rPr>
        <w:t>资金使用监管：</w:t>
      </w:r>
      <w:r>
        <w:rPr>
          <w:rFonts w:ascii="Times New Roman" w:eastAsia="仿宋_GB2312" w:hAnsi="Times New Roman" w:cs="Times New Roman"/>
          <w:color w:val="000000"/>
          <w:sz w:val="32"/>
          <w:szCs w:val="32"/>
        </w:rPr>
        <w:t>投保企业、保险公司存在虚报、截留、挪用、冒领补贴资金等违法违规行为的，依法追回资金，并按规定追究责任；涉嫌犯罪的，移送司法机关处理；</w:t>
      </w:r>
    </w:p>
    <w:p w14:paraId="0B4F8B64" w14:textId="77777777" w:rsidR="00896EA8" w:rsidRDefault="00000000">
      <w:pPr>
        <w:widowControl/>
        <w:spacing w:line="560" w:lineRule="atLeas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3.</w:t>
      </w:r>
      <w:r>
        <w:rPr>
          <w:rFonts w:ascii="Times New Roman" w:eastAsia="楷体_GB2312" w:hAnsi="Times New Roman" w:cs="Times New Roman"/>
          <w:color w:val="000000"/>
          <w:sz w:val="32"/>
          <w:szCs w:val="32"/>
        </w:rPr>
        <w:t>绩效评价：</w:t>
      </w:r>
      <w:r>
        <w:rPr>
          <w:rFonts w:ascii="Times New Roman" w:eastAsia="仿宋_GB2312" w:hAnsi="Times New Roman" w:cs="Times New Roman"/>
          <w:color w:val="000000"/>
          <w:sz w:val="32"/>
          <w:szCs w:val="32"/>
        </w:rPr>
        <w:t>建立科技保险工作绩效评价机制，从政策执行、资金使用、企业满意度、风险保障效果等方面开展评价，将评价结果作为后续政策调整、资金安排、机构准入的重要依据。</w:t>
      </w:r>
    </w:p>
    <w:p w14:paraId="05A33720" w14:textId="77777777" w:rsidR="00896EA8" w:rsidRDefault="00000000">
      <w:pPr>
        <w:widowControl/>
        <w:spacing w:line="560" w:lineRule="atLeast"/>
        <w:ind w:firstLineChars="200" w:firstLine="640"/>
        <w:rPr>
          <w:rFonts w:ascii="Times New Roman" w:eastAsia="仿宋_GB2312" w:hAnsi="Times New Roman" w:cs="Times New Roman"/>
          <w:kern w:val="0"/>
          <w:sz w:val="32"/>
          <w:szCs w:val="32"/>
          <w:lang w:bidi="ar"/>
        </w:rPr>
      </w:pPr>
      <w:r>
        <w:rPr>
          <w:rFonts w:ascii="Times New Roman" w:eastAsia="仿宋_GB2312" w:hAnsi="Times New Roman" w:cs="Times New Roman"/>
          <w:color w:val="000000"/>
          <w:kern w:val="0"/>
          <w:sz w:val="32"/>
          <w:szCs w:val="32"/>
          <w:lang w:bidi="ar"/>
        </w:rPr>
        <w:t>本实施意见由市科技局、市委融</w:t>
      </w:r>
      <w:r>
        <w:rPr>
          <w:rFonts w:ascii="Times New Roman" w:eastAsia="仿宋_GB2312" w:hAnsi="Times New Roman" w:cs="Times New Roman"/>
          <w:kern w:val="0"/>
          <w:sz w:val="32"/>
          <w:szCs w:val="32"/>
          <w:lang w:bidi="ar"/>
        </w:rPr>
        <w:t>办、市财政局、绵阳金融监管分局负责解释，自印发之日起施行，有效期</w:t>
      </w:r>
      <w:r>
        <w:rPr>
          <w:rFonts w:ascii="Times New Roman" w:eastAsia="仿宋_GB2312" w:hAnsi="Times New Roman" w:cs="Times New Roman"/>
          <w:kern w:val="0"/>
          <w:sz w:val="32"/>
          <w:szCs w:val="32"/>
          <w:lang w:bidi="ar"/>
        </w:rPr>
        <w:t>5</w:t>
      </w:r>
      <w:r>
        <w:rPr>
          <w:rFonts w:ascii="Times New Roman" w:eastAsia="仿宋_GB2312" w:hAnsi="Times New Roman" w:cs="Times New Roman"/>
          <w:kern w:val="0"/>
          <w:sz w:val="32"/>
          <w:szCs w:val="32"/>
          <w:lang w:bidi="ar"/>
        </w:rPr>
        <w:t>年。原《绵阳市开展科技保险工作的实施意见》（</w:t>
      </w:r>
      <w:proofErr w:type="gramStart"/>
      <w:r>
        <w:rPr>
          <w:rFonts w:ascii="Times New Roman" w:eastAsia="仿宋_GB2312" w:hAnsi="Times New Roman" w:cs="Times New Roman"/>
          <w:kern w:val="0"/>
          <w:sz w:val="32"/>
          <w:szCs w:val="32"/>
          <w:lang w:bidi="ar"/>
        </w:rPr>
        <w:t>绵</w:t>
      </w:r>
      <w:proofErr w:type="gramEnd"/>
      <w:r>
        <w:rPr>
          <w:rFonts w:ascii="Times New Roman" w:eastAsia="仿宋_GB2312" w:hAnsi="Times New Roman" w:cs="Times New Roman"/>
          <w:kern w:val="0"/>
          <w:sz w:val="32"/>
          <w:szCs w:val="32"/>
          <w:lang w:bidi="ar"/>
        </w:rPr>
        <w:t>府办发〔</w:t>
      </w:r>
      <w:r>
        <w:rPr>
          <w:rFonts w:ascii="Times New Roman" w:eastAsia="仿宋_GB2312" w:hAnsi="Times New Roman" w:cs="Times New Roman"/>
          <w:kern w:val="0"/>
          <w:sz w:val="32"/>
          <w:szCs w:val="32"/>
          <w:lang w:bidi="ar"/>
        </w:rPr>
        <w:t>2021</w:t>
      </w:r>
      <w:r>
        <w:rPr>
          <w:rFonts w:ascii="Times New Roman" w:eastAsia="仿宋_GB2312" w:hAnsi="Times New Roman" w:cs="Times New Roman"/>
          <w:kern w:val="0"/>
          <w:sz w:val="32"/>
          <w:szCs w:val="32"/>
          <w:lang w:bidi="ar"/>
        </w:rPr>
        <w:t>〕</w:t>
      </w:r>
      <w:r>
        <w:rPr>
          <w:rFonts w:ascii="Times New Roman" w:eastAsia="仿宋_GB2312" w:hAnsi="Times New Roman" w:cs="Times New Roman"/>
          <w:kern w:val="0"/>
          <w:sz w:val="32"/>
          <w:szCs w:val="32"/>
          <w:lang w:bidi="ar"/>
        </w:rPr>
        <w:t>11</w:t>
      </w:r>
      <w:r>
        <w:rPr>
          <w:rFonts w:ascii="Times New Roman" w:eastAsia="仿宋_GB2312" w:hAnsi="Times New Roman" w:cs="Times New Roman"/>
          <w:kern w:val="0"/>
          <w:sz w:val="32"/>
          <w:szCs w:val="32"/>
          <w:lang w:bidi="ar"/>
        </w:rPr>
        <w:t>号）同时废止。</w:t>
      </w:r>
    </w:p>
    <w:p w14:paraId="61867827" w14:textId="77777777" w:rsidR="00896EA8" w:rsidRDefault="00000000">
      <w:pPr>
        <w:widowControl/>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lang w:bidi="ar"/>
        </w:rPr>
        <w:t>扩权县（市）可根据本地实际情况，参照本《实施意见》</w:t>
      </w:r>
      <w:r>
        <w:rPr>
          <w:rFonts w:ascii="Times New Roman" w:eastAsia="仿宋_GB2312" w:hAnsi="Times New Roman" w:cs="Times New Roman" w:hint="eastAsia"/>
          <w:kern w:val="0"/>
          <w:sz w:val="32"/>
          <w:szCs w:val="32"/>
          <w:lang w:bidi="ar"/>
        </w:rPr>
        <w:t>实施</w:t>
      </w:r>
      <w:r>
        <w:rPr>
          <w:rFonts w:ascii="Times New Roman" w:eastAsia="仿宋_GB2312" w:hAnsi="Times New Roman" w:cs="Times New Roman"/>
          <w:kern w:val="0"/>
          <w:sz w:val="32"/>
          <w:szCs w:val="32"/>
          <w:lang w:bidi="ar"/>
        </w:rPr>
        <w:t>，推进科技保险工作</w:t>
      </w:r>
      <w:r>
        <w:rPr>
          <w:rFonts w:ascii="Times New Roman" w:eastAsia="仿宋_GB2312" w:hAnsi="Times New Roman" w:cs="Times New Roman" w:hint="eastAsia"/>
          <w:kern w:val="0"/>
          <w:sz w:val="32"/>
          <w:szCs w:val="32"/>
          <w:lang w:bidi="ar"/>
        </w:rPr>
        <w:t>，补贴资金</w:t>
      </w:r>
      <w:r>
        <w:rPr>
          <w:rFonts w:ascii="Times New Roman" w:eastAsia="仿宋_GB2312" w:hAnsi="Times New Roman" w:cs="Times New Roman"/>
          <w:kern w:val="0"/>
          <w:sz w:val="32"/>
          <w:szCs w:val="32"/>
          <w:lang w:bidi="ar"/>
        </w:rPr>
        <w:t>由扩权县（市）</w:t>
      </w:r>
      <w:r>
        <w:rPr>
          <w:rFonts w:ascii="Times New Roman" w:eastAsia="仿宋_GB2312" w:hAnsi="Times New Roman" w:cs="Times New Roman"/>
          <w:color w:val="000000"/>
          <w:sz w:val="32"/>
          <w:szCs w:val="32"/>
        </w:rPr>
        <w:t>全额负担</w:t>
      </w:r>
      <w:r>
        <w:rPr>
          <w:rFonts w:ascii="Times New Roman" w:eastAsia="仿宋_GB2312" w:hAnsi="Times New Roman" w:cs="Times New Roman"/>
          <w:kern w:val="0"/>
          <w:sz w:val="32"/>
          <w:szCs w:val="32"/>
          <w:lang w:bidi="ar"/>
        </w:rPr>
        <w:t>。</w:t>
      </w:r>
    </w:p>
    <w:sectPr w:rsidR="00896EA8">
      <w:footerReference w:type="default" r:id="rId8"/>
      <w:pgSz w:w="11906" w:h="16838"/>
      <w:pgMar w:top="1440" w:right="1486" w:bottom="1440" w:left="14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D17A" w14:textId="77777777" w:rsidR="00904C3B" w:rsidRDefault="00904C3B">
      <w:r>
        <w:separator/>
      </w:r>
    </w:p>
  </w:endnote>
  <w:endnote w:type="continuationSeparator" w:id="0">
    <w:p w14:paraId="575DDFA3" w14:textId="77777777" w:rsidR="00904C3B" w:rsidRDefault="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535F02D-CE92-4E73-AEF3-F021A2FCEC36}"/>
  </w:font>
  <w:font w:name="方正小标宋简体">
    <w:altName w:val="微软雅黑"/>
    <w:charset w:val="86"/>
    <w:family w:val="auto"/>
    <w:pitch w:val="default"/>
    <w:sig w:usb0="A00002BF" w:usb1="184F6CFA" w:usb2="00000012"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80" w14:textId="77777777" w:rsidR="00896EA8" w:rsidRDefault="00000000">
    <w:pPr>
      <w:pStyle w:val="a3"/>
    </w:pPr>
    <w:r>
      <w:rPr>
        <w:noProof/>
      </w:rPr>
      <mc:AlternateContent>
        <mc:Choice Requires="wps">
          <w:drawing>
            <wp:anchor distT="0" distB="0" distL="114300" distR="114300" simplePos="0" relativeHeight="251659264" behindDoc="0" locked="0" layoutInCell="1" allowOverlap="1" wp14:anchorId="2332965B" wp14:editId="66BEDFE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149C9" w14:textId="77777777" w:rsidR="00896EA8" w:rsidRDefault="00000000">
                          <w:pPr>
                            <w:pStyle w:val="a3"/>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32965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3A149C9" w14:textId="77777777" w:rsidR="00896EA8" w:rsidRDefault="00000000">
                    <w:pPr>
                      <w:pStyle w:val="a3"/>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E9BD" w14:textId="77777777" w:rsidR="00904C3B" w:rsidRDefault="00904C3B">
      <w:r>
        <w:separator/>
      </w:r>
    </w:p>
  </w:footnote>
  <w:footnote w:type="continuationSeparator" w:id="0">
    <w:p w14:paraId="1C72EE35" w14:textId="77777777" w:rsidR="00904C3B" w:rsidRDefault="00904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5D91E"/>
    <w:multiLevelType w:val="singleLevel"/>
    <w:tmpl w:val="83C5D91E"/>
    <w:lvl w:ilvl="0">
      <w:start w:val="1"/>
      <w:numFmt w:val="decimal"/>
      <w:lvlText w:val="%1."/>
      <w:lvlJc w:val="left"/>
      <w:pPr>
        <w:ind w:left="425" w:hanging="425"/>
      </w:pPr>
      <w:rPr>
        <w:rFonts w:ascii="Times New Roman" w:hAnsi="Times New Roman" w:cs="Times New Roman" w:hint="default"/>
        <w:b w:val="0"/>
        <w:bCs w:val="0"/>
      </w:rPr>
    </w:lvl>
  </w:abstractNum>
  <w:abstractNum w:abstractNumId="1" w15:restartNumberingAfterBreak="0">
    <w:nsid w:val="45882E26"/>
    <w:multiLevelType w:val="singleLevel"/>
    <w:tmpl w:val="45882E26"/>
    <w:lvl w:ilvl="0">
      <w:start w:val="1"/>
      <w:numFmt w:val="decimal"/>
      <w:lvlText w:val="%1."/>
      <w:lvlJc w:val="left"/>
      <w:pPr>
        <w:ind w:left="425" w:hanging="425"/>
      </w:pPr>
      <w:rPr>
        <w:rFonts w:hint="default"/>
      </w:rPr>
    </w:lvl>
  </w:abstractNum>
  <w:abstractNum w:abstractNumId="2" w15:restartNumberingAfterBreak="0">
    <w:nsid w:val="51EAA923"/>
    <w:multiLevelType w:val="singleLevel"/>
    <w:tmpl w:val="51EAA923"/>
    <w:lvl w:ilvl="0">
      <w:start w:val="1"/>
      <w:numFmt w:val="decimal"/>
      <w:lvlText w:val="%1."/>
      <w:lvlJc w:val="left"/>
      <w:pPr>
        <w:ind w:left="425" w:hanging="425"/>
      </w:pPr>
      <w:rPr>
        <w:rFonts w:hint="default"/>
      </w:rPr>
    </w:lvl>
  </w:abstractNum>
  <w:num w:numId="1" w16cid:durableId="534970862">
    <w:abstractNumId w:val="0"/>
  </w:num>
  <w:num w:numId="2" w16cid:durableId="804465332">
    <w:abstractNumId w:val="2"/>
  </w:num>
  <w:num w:numId="3" w16cid:durableId="210386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7117F6"/>
    <w:rsid w:val="E67BA865"/>
    <w:rsid w:val="EFD7160F"/>
    <w:rsid w:val="EFFE445C"/>
    <w:rsid w:val="F5E495F2"/>
    <w:rsid w:val="F5FF659B"/>
    <w:rsid w:val="F737E5C3"/>
    <w:rsid w:val="F7BABA4D"/>
    <w:rsid w:val="FBBD5C0D"/>
    <w:rsid w:val="FC7789B3"/>
    <w:rsid w:val="FDEF48B3"/>
    <w:rsid w:val="FF7674C8"/>
    <w:rsid w:val="FFAEB11F"/>
    <w:rsid w:val="FFEF4A03"/>
    <w:rsid w:val="FFFD8C56"/>
    <w:rsid w:val="0023599A"/>
    <w:rsid w:val="00896EA8"/>
    <w:rsid w:val="00904C3B"/>
    <w:rsid w:val="00F06CAD"/>
    <w:rsid w:val="03054B9D"/>
    <w:rsid w:val="04DD0BDD"/>
    <w:rsid w:val="067380B7"/>
    <w:rsid w:val="08AE286A"/>
    <w:rsid w:val="0CB73E4B"/>
    <w:rsid w:val="1A5439C0"/>
    <w:rsid w:val="1FBB354A"/>
    <w:rsid w:val="1FFBCCA8"/>
    <w:rsid w:val="20C274CD"/>
    <w:rsid w:val="243454F7"/>
    <w:rsid w:val="256E76C8"/>
    <w:rsid w:val="295A7167"/>
    <w:rsid w:val="2A27165A"/>
    <w:rsid w:val="2C106E82"/>
    <w:rsid w:val="2EC86CF9"/>
    <w:rsid w:val="2F4D5541"/>
    <w:rsid w:val="31C75DBD"/>
    <w:rsid w:val="348D3A8F"/>
    <w:rsid w:val="34D049D0"/>
    <w:rsid w:val="3CBFE0A6"/>
    <w:rsid w:val="3D1A3488"/>
    <w:rsid w:val="3D7F932F"/>
    <w:rsid w:val="3E3B421A"/>
    <w:rsid w:val="3F0D09C6"/>
    <w:rsid w:val="3F1B49C6"/>
    <w:rsid w:val="3F4E45C7"/>
    <w:rsid w:val="41992FD4"/>
    <w:rsid w:val="41A61DF6"/>
    <w:rsid w:val="47CBD6ED"/>
    <w:rsid w:val="4DA03C92"/>
    <w:rsid w:val="4E3B3239"/>
    <w:rsid w:val="4E734FE6"/>
    <w:rsid w:val="52EB0BC7"/>
    <w:rsid w:val="53C040D7"/>
    <w:rsid w:val="53DF227C"/>
    <w:rsid w:val="54F04C58"/>
    <w:rsid w:val="550D644B"/>
    <w:rsid w:val="58005BA6"/>
    <w:rsid w:val="597D0170"/>
    <w:rsid w:val="5AEE56DB"/>
    <w:rsid w:val="5D8F3C9C"/>
    <w:rsid w:val="5E46AD83"/>
    <w:rsid w:val="5FEFAFCB"/>
    <w:rsid w:val="619D5782"/>
    <w:rsid w:val="663A2B21"/>
    <w:rsid w:val="67FF3B07"/>
    <w:rsid w:val="6B7117F6"/>
    <w:rsid w:val="6BA047ED"/>
    <w:rsid w:val="6BF13422"/>
    <w:rsid w:val="6C130BDB"/>
    <w:rsid w:val="6DDBF8FF"/>
    <w:rsid w:val="6DDD6A5B"/>
    <w:rsid w:val="6E7A6346"/>
    <w:rsid w:val="6F6F595E"/>
    <w:rsid w:val="71C57929"/>
    <w:rsid w:val="73DAB303"/>
    <w:rsid w:val="73FD77FC"/>
    <w:rsid w:val="74D00D9E"/>
    <w:rsid w:val="74F11C15"/>
    <w:rsid w:val="7567D03E"/>
    <w:rsid w:val="7621008B"/>
    <w:rsid w:val="777FD7E6"/>
    <w:rsid w:val="78B3A554"/>
    <w:rsid w:val="79DCA432"/>
    <w:rsid w:val="7A3D6917"/>
    <w:rsid w:val="7B0F7299"/>
    <w:rsid w:val="7B3F172B"/>
    <w:rsid w:val="7BF9DC4A"/>
    <w:rsid w:val="7C7B56D8"/>
    <w:rsid w:val="7D9D4CAD"/>
    <w:rsid w:val="7DE6FC22"/>
    <w:rsid w:val="7EAA0230"/>
    <w:rsid w:val="7F362F61"/>
    <w:rsid w:val="7FFCB694"/>
    <w:rsid w:val="87FF5F72"/>
    <w:rsid w:val="96A974BA"/>
    <w:rsid w:val="9F924C83"/>
    <w:rsid w:val="A7AD3280"/>
    <w:rsid w:val="AFEF3908"/>
    <w:rsid w:val="B3EFF20F"/>
    <w:rsid w:val="B7AEDC6D"/>
    <w:rsid w:val="BA7B742C"/>
    <w:rsid w:val="BCDFFE8B"/>
    <w:rsid w:val="BEBFCFF3"/>
    <w:rsid w:val="BF7FBEE0"/>
    <w:rsid w:val="D1D2DE31"/>
    <w:rsid w:val="D5EEF861"/>
    <w:rsid w:val="DBFE6663"/>
    <w:rsid w:val="DFF52830"/>
    <w:rsid w:val="E5AFA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10DB0"/>
  <w15:docId w15:val="{DEAC79B5-4714-4336-B6A0-D329B31C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next w:val="a"/>
    <w:qFormat/>
    <w:pPr>
      <w:spacing w:after="120" w:line="480" w:lineRule="auto"/>
      <w:ind w:leftChars="200" w:left="420"/>
    </w:pPr>
    <w:rPr>
      <w:rFonts w:ascii="Calibri" w:eastAsia="宋体" w:hAnsi="Calibri" w:cs="Times New Roman"/>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Pr>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1800</Words>
  <Characters>2072</Characters>
  <Application>Microsoft Office Word</Application>
  <DocSecurity>0</DocSecurity>
  <Lines>109</Lines>
  <Paragraphs>71</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素心如简</dc:creator>
  <cp:lastModifiedBy>YY Z</cp:lastModifiedBy>
  <cp:revision>2</cp:revision>
  <cp:lastPrinted>2026-05-10T07:21:00Z</cp:lastPrinted>
  <dcterms:created xsi:type="dcterms:W3CDTF">2026-05-13T06:55:00Z</dcterms:created>
  <dcterms:modified xsi:type="dcterms:W3CDTF">2026-05-13T06:55:00Z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1EC1C6C541551D05C8E4026A0BF8FF0F_43</vt:lpwstr>
  </property>
  <property fmtid="{D5CDD505-2E9C-101B-9397-08002B2CF9AE}" pid="4" name="KSOTemplateDocerSaveRecord">
    <vt:lpwstr>eyJoZGlkIjoiNjI0MDhiMTM4YjEzOGJhNGIwYjllNDg1YmQ4NDJiYmIiLCJ1c2VySWQiOiIyMTAxNDk4ODQifQ==</vt:lpwstr>
  </property>
</Properties>
</file>