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22D3C">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绿电直连项目实施方案编制参考大纲</w:t>
      </w:r>
    </w:p>
    <w:p w14:paraId="6BBB7ADB">
      <w:pPr>
        <w:pStyle w:val="2"/>
        <w:keepNext w:val="0"/>
        <w:keepLines w:val="0"/>
        <w:pageBreakBefore w:val="0"/>
        <w:widowControl w:val="0"/>
        <w:kinsoku/>
        <w:wordWrap/>
        <w:overflowPunct/>
        <w:topLinePunct w:val="0"/>
        <w:autoSpaceDE/>
        <w:autoSpaceDN/>
        <w:bidi w:val="0"/>
        <w:adjustRightInd/>
        <w:snapToGrid/>
        <w:spacing w:line="560" w:lineRule="exact"/>
        <w:ind w:left="1520" w:firstLine="880"/>
        <w:jc w:val="center"/>
        <w:textAlignment w:val="auto"/>
        <w:rPr>
          <w:rFonts w:hint="default" w:ascii="Times New Roman" w:hAnsi="Times New Roman" w:eastAsia="方正小标宋简体" w:cs="Times New Roman"/>
          <w:sz w:val="44"/>
        </w:rPr>
      </w:pPr>
    </w:p>
    <w:p w14:paraId="0B486413">
      <w:pPr>
        <w:pStyle w:val="4"/>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编制依据及实施原则</w:t>
      </w:r>
    </w:p>
    <w:p w14:paraId="4D1ED2AC">
      <w:pPr>
        <w:pStyle w:val="2"/>
        <w:keepNext w:val="0"/>
        <w:keepLines w:val="0"/>
        <w:pageBreakBefore w:val="0"/>
        <w:widowControl w:val="0"/>
        <w:numPr>
          <w:ilvl w:val="0"/>
          <w:numId w:val="2"/>
        </w:numPr>
        <w:suppressAutoHyphens w:val="0"/>
        <w:kinsoku/>
        <w:wordWrap/>
        <w:overflowPunct/>
        <w:topLinePunct w:val="0"/>
        <w:autoSpaceDE/>
        <w:autoSpaceDN/>
        <w:bidi w:val="0"/>
        <w:adjustRightInd/>
        <w:snapToGrid/>
        <w:spacing w:line="560" w:lineRule="exact"/>
        <w:ind w:firstLine="640"/>
        <w:textAlignment w:val="auto"/>
        <w:outlineLvl w:val="1"/>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编制依据及基本原则</w:t>
      </w:r>
    </w:p>
    <w:p w14:paraId="062B0EF5">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依据《中华人民共和国能源法》《企业投资项目核准和备案管理办法》《分布式光伏发电开发建设管理办法》等法律法规，以及《国家发展改革委 国家能源局关于有序推动绿电直连发展有关事项通知》《关于完善价格机制促进新能源发电就近消纳的通知》《四川省有序推动绿电直连发展实施细则》等有关政策文件，坚持安全优先、绿色友好、权责对等、源荷匹配的原则进行实施方案编制，推动清洁能源就近就地消纳，促进企业绿色转型发展。</w:t>
      </w:r>
    </w:p>
    <w:p w14:paraId="6327E20D">
      <w:pPr>
        <w:pStyle w:val="2"/>
        <w:keepNext w:val="0"/>
        <w:keepLines w:val="0"/>
        <w:pageBreakBefore w:val="0"/>
        <w:widowControl w:val="0"/>
        <w:numPr>
          <w:ilvl w:val="0"/>
          <w:numId w:val="2"/>
        </w:numPr>
        <w:suppressAutoHyphens w:val="0"/>
        <w:kinsoku/>
        <w:wordWrap/>
        <w:overflowPunct/>
        <w:topLinePunct w:val="0"/>
        <w:autoSpaceDE/>
        <w:autoSpaceDN/>
        <w:bidi w:val="0"/>
        <w:adjustRightInd/>
        <w:snapToGrid/>
        <w:spacing w:line="560" w:lineRule="exact"/>
        <w:ind w:firstLine="640"/>
        <w:textAlignment w:val="auto"/>
        <w:outlineLvl w:val="1"/>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适用范围及项目类型</w:t>
      </w:r>
    </w:p>
    <w:p w14:paraId="15422F12">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适用于符合要求的风电、光伏、生物质发电等清洁能源通过专用电力线路直接向单一电力用户供电的绿电直连项目。项目电压等级原则上不超过220千伏。</w:t>
      </w:r>
    </w:p>
    <w:p w14:paraId="0954F357">
      <w:pPr>
        <w:pStyle w:val="2"/>
        <w:keepNext w:val="0"/>
        <w:keepLines w:val="0"/>
        <w:pageBreakBefore w:val="0"/>
        <w:widowControl w:val="0"/>
        <w:numPr>
          <w:ilvl w:val="0"/>
          <w:numId w:val="2"/>
        </w:numPr>
        <w:suppressAutoHyphens w:val="0"/>
        <w:kinsoku/>
        <w:wordWrap/>
        <w:overflowPunct/>
        <w:topLinePunct w:val="0"/>
        <w:autoSpaceDE/>
        <w:autoSpaceDN/>
        <w:bidi w:val="0"/>
        <w:adjustRightInd/>
        <w:snapToGrid/>
        <w:spacing w:line="560" w:lineRule="exact"/>
        <w:ind w:firstLine="640"/>
        <w:textAlignment w:val="auto"/>
        <w:outlineLvl w:val="1"/>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设计水平年</w:t>
      </w:r>
    </w:p>
    <w:p w14:paraId="5BAAC9ED">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明确电源建设进度（含绿电电源、储能）、负荷形成规模及投产时间、电网接入完成节点（含直连及公用电网兜底）。如分步实施的需明确每部分实施关键节点。</w:t>
      </w:r>
    </w:p>
    <w:p w14:paraId="448C0857">
      <w:pPr>
        <w:pStyle w:val="4"/>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项目概况与必要性分析</w:t>
      </w:r>
    </w:p>
    <w:p w14:paraId="0344D15A">
      <w:pPr>
        <w:pStyle w:val="2"/>
        <w:keepNext w:val="0"/>
        <w:keepLines w:val="0"/>
        <w:pageBreakBefore w:val="0"/>
        <w:widowControl w:val="0"/>
        <w:numPr>
          <w:ilvl w:val="0"/>
          <w:numId w:val="3"/>
        </w:numPr>
        <w:suppressAutoHyphens w:val="0"/>
        <w:kinsoku/>
        <w:wordWrap/>
        <w:overflowPunct/>
        <w:topLinePunct w:val="0"/>
        <w:autoSpaceDE/>
        <w:autoSpaceDN/>
        <w:bidi w:val="0"/>
        <w:adjustRightInd/>
        <w:snapToGrid/>
        <w:spacing w:line="560" w:lineRule="exact"/>
        <w:ind w:firstLine="640"/>
        <w:textAlignment w:val="auto"/>
        <w:outlineLvl w:val="1"/>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项目概况</w:t>
      </w:r>
    </w:p>
    <w:p w14:paraId="5F46476D">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包括项目建设地点、建设规模、计划建成时间，直供电源种类及规模、负荷类型及规模，投资主体及项目分类（并网型或离网型）等信息。</w:t>
      </w:r>
    </w:p>
    <w:p w14:paraId="08227EAE">
      <w:pPr>
        <w:pStyle w:val="2"/>
        <w:keepNext w:val="0"/>
        <w:keepLines w:val="0"/>
        <w:pageBreakBefore w:val="0"/>
        <w:widowControl w:val="0"/>
        <w:numPr>
          <w:ilvl w:val="0"/>
          <w:numId w:val="3"/>
        </w:numPr>
        <w:suppressAutoHyphens w:val="0"/>
        <w:kinsoku/>
        <w:wordWrap/>
        <w:overflowPunct/>
        <w:topLinePunct w:val="0"/>
        <w:autoSpaceDE/>
        <w:autoSpaceDN/>
        <w:bidi w:val="0"/>
        <w:adjustRightInd/>
        <w:snapToGrid/>
        <w:spacing w:line="560" w:lineRule="exact"/>
        <w:ind w:firstLine="640"/>
        <w:textAlignment w:val="auto"/>
        <w:outlineLvl w:val="1"/>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建设必要性分析</w:t>
      </w:r>
    </w:p>
    <w:p w14:paraId="03AB9B15">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包括企业绿色用能需求、就近消纳能力、资源条件、电网接入条件等方面论证项目的可实施性、必要性、经济性等。</w:t>
      </w:r>
    </w:p>
    <w:p w14:paraId="7A9A3D39">
      <w:pPr>
        <w:pStyle w:val="4"/>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总体方案</w:t>
      </w:r>
    </w:p>
    <w:p w14:paraId="50E35C1E">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绿电直连各部分按“同步设计、同步建设、同步投产”原则推动网源协调，需达到接入系统设计深度要求，落实包括绿电直连的整体方案设计和拓扑图，编制电源（含绿电、储能）、负荷及线路（含直连和接入公网线路）和接入系统的整体化建设方案编制，需明确系统风险评估、电能质量管理和安全措施、项目整体新能源年自发自用电量占总可用发电量比例和占总用电量比例、峰谷调节水平及备用机制。</w:t>
      </w:r>
    </w:p>
    <w:p w14:paraId="6111A42E">
      <w:pPr>
        <w:pStyle w:val="4"/>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主要设计内容</w:t>
      </w:r>
    </w:p>
    <w:p w14:paraId="66640093">
      <w:pPr>
        <w:pStyle w:val="2"/>
        <w:keepNext w:val="0"/>
        <w:keepLines w:val="0"/>
        <w:pageBreakBefore w:val="0"/>
        <w:widowControl w:val="0"/>
        <w:numPr>
          <w:ilvl w:val="0"/>
          <w:numId w:val="4"/>
        </w:numPr>
        <w:suppressAutoHyphens w:val="0"/>
        <w:kinsoku/>
        <w:wordWrap/>
        <w:overflowPunct/>
        <w:topLinePunct w:val="0"/>
        <w:autoSpaceDE/>
        <w:autoSpaceDN/>
        <w:bidi w:val="0"/>
        <w:adjustRightInd/>
        <w:snapToGrid/>
        <w:spacing w:line="560" w:lineRule="exact"/>
        <w:ind w:firstLine="640"/>
        <w:textAlignment w:val="auto"/>
        <w:outlineLvl w:val="1"/>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电源部分</w:t>
      </w:r>
    </w:p>
    <w:p w14:paraId="03E06B77">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包括电源属性（存量/增量）、地理位置、建站条件、主要特征等基本情况，落实电源是否符合规划、建成投产时序等内容，明确项目选址、接入条件、审批手续办理情况及具体技术方案。</w:t>
      </w:r>
    </w:p>
    <w:p w14:paraId="7BDB8923">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开展储能配置研究，需结合系统所需调节能力及用电负荷特性，满足峰谷差和电能质量管理等要求，合理论证和落实配置的储能比例。明确储能站址、技术路线、设备配置、运行方案及安全措施等，落实具体实施方案。</w:t>
      </w:r>
    </w:p>
    <w:p w14:paraId="4C0057DD">
      <w:pPr>
        <w:pStyle w:val="2"/>
        <w:keepNext w:val="0"/>
        <w:keepLines w:val="0"/>
        <w:pageBreakBefore w:val="0"/>
        <w:widowControl w:val="0"/>
        <w:numPr>
          <w:ilvl w:val="0"/>
          <w:numId w:val="4"/>
        </w:numPr>
        <w:suppressAutoHyphens w:val="0"/>
        <w:kinsoku/>
        <w:wordWrap/>
        <w:overflowPunct/>
        <w:topLinePunct w:val="0"/>
        <w:autoSpaceDE/>
        <w:autoSpaceDN/>
        <w:bidi w:val="0"/>
        <w:adjustRightInd/>
        <w:snapToGrid/>
        <w:spacing w:line="560" w:lineRule="exact"/>
        <w:ind w:firstLine="640"/>
        <w:textAlignment w:val="auto"/>
        <w:outlineLvl w:val="1"/>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负荷部分</w:t>
      </w:r>
    </w:p>
    <w:p w14:paraId="23CC4BAE">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lang w:val="en-US" w:eastAsia="zh-CN"/>
        </w:rPr>
        <w:t>包括新增或存量负荷基本情况、负荷类型、用能需求、建设</w:t>
      </w:r>
      <w:r>
        <w:rPr>
          <w:rFonts w:hint="default" w:ascii="Times New Roman" w:hAnsi="Times New Roman" w:eastAsia="仿宋_GB2312" w:cs="Times New Roman"/>
          <w:snapToGrid w:val="0"/>
          <w:color w:val="000000"/>
          <w:kern w:val="0"/>
          <w:szCs w:val="32"/>
        </w:rPr>
        <w:t>时序、负荷大小、对绿电的需求等内容，说明受电系统情况，明确项目供电电压等级、电气主接线、接入公用电网电源配置以及自备应急电源配置。</w:t>
      </w:r>
    </w:p>
    <w:p w14:paraId="3E3DADBD">
      <w:pPr>
        <w:pStyle w:val="2"/>
        <w:keepNext w:val="0"/>
        <w:keepLines w:val="0"/>
        <w:pageBreakBefore w:val="0"/>
        <w:widowControl w:val="0"/>
        <w:numPr>
          <w:ilvl w:val="0"/>
          <w:numId w:val="4"/>
        </w:numPr>
        <w:suppressAutoHyphens w:val="0"/>
        <w:kinsoku/>
        <w:wordWrap/>
        <w:overflowPunct/>
        <w:topLinePunct w:val="0"/>
        <w:autoSpaceDE/>
        <w:autoSpaceDN/>
        <w:bidi w:val="0"/>
        <w:adjustRightInd/>
        <w:snapToGrid/>
        <w:spacing w:line="560" w:lineRule="exact"/>
        <w:ind w:firstLine="640"/>
        <w:textAlignment w:val="auto"/>
        <w:outlineLvl w:val="1"/>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线路部分</w:t>
      </w:r>
    </w:p>
    <w:p w14:paraId="2BA40611">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包括直连线路和大电网兜底线路的建设方案，需明确线路建设主体、线路路径、电压等级、产权划分及安全距离、主要设备设施选型。对确需跨越公共设施的应提出相应安全技术措施，路径方案应进行多方案对比。</w:t>
      </w:r>
    </w:p>
    <w:p w14:paraId="26042BD9">
      <w:pPr>
        <w:pStyle w:val="2"/>
        <w:keepNext w:val="0"/>
        <w:keepLines w:val="0"/>
        <w:pageBreakBefore w:val="0"/>
        <w:widowControl w:val="0"/>
        <w:numPr>
          <w:ilvl w:val="0"/>
          <w:numId w:val="4"/>
        </w:numPr>
        <w:suppressAutoHyphens w:val="0"/>
        <w:kinsoku/>
        <w:wordWrap/>
        <w:overflowPunct/>
        <w:topLinePunct w:val="0"/>
        <w:autoSpaceDE/>
        <w:autoSpaceDN/>
        <w:bidi w:val="0"/>
        <w:adjustRightInd/>
        <w:snapToGrid/>
        <w:spacing w:line="560" w:lineRule="exact"/>
        <w:ind w:firstLine="640"/>
        <w:textAlignment w:val="auto"/>
        <w:outlineLvl w:val="1"/>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接入系统</w:t>
      </w:r>
    </w:p>
    <w:p w14:paraId="2E9EB423">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包括绿电直连项目并网论证、并网方案、计量方式、电网接口技术方案以及安全责任界面划分情况。接入系统应开展多方案对比。</w:t>
      </w:r>
    </w:p>
    <w:p w14:paraId="3E6E25E1">
      <w:pPr>
        <w:pStyle w:val="4"/>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电力系统安全评估</w:t>
      </w:r>
    </w:p>
    <w:p w14:paraId="292FE1AA">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依据《电网运行准则》等标准，评估项目对区域电网稳定性、电压支撑、电能质量、兜底大电网的安全稳定影响，明确安全界面，落实应对措施。</w:t>
      </w:r>
    </w:p>
    <w:p w14:paraId="4D0B01AA">
      <w:pPr>
        <w:pStyle w:val="4"/>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投资估算及财务测算</w:t>
      </w:r>
    </w:p>
    <w:p w14:paraId="2B885C65">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明确各部分投资构成及总投资估算，开展财务内部收益率、投资回收期等指标分析，合理测算电力销售单价及成本。</w:t>
      </w:r>
    </w:p>
    <w:p w14:paraId="14E2EC00">
      <w:pPr>
        <w:pStyle w:val="4"/>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经济效益与社会效益分析</w:t>
      </w:r>
    </w:p>
    <w:p w14:paraId="26A72A45">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综合分析项目实施的综合价值，突出绿电直供在促进产业绿色转型、提升能源利用效率、推动区域经济发展等方面的积极作用。</w:t>
      </w:r>
    </w:p>
    <w:p w14:paraId="54F78139">
      <w:pPr>
        <w:pStyle w:val="4"/>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项目实施路径及保障措施</w:t>
      </w:r>
    </w:p>
    <w:p w14:paraId="58196FA5">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明确项目投资主体职责、投建模式（如自投、合资、合同能源管理等）、关键节点时序安排和风险控制机制。</w:t>
      </w:r>
    </w:p>
    <w:p w14:paraId="176EFD1F">
      <w:pPr>
        <w:pStyle w:val="4"/>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附件或附图</w:t>
      </w:r>
    </w:p>
    <w:p w14:paraId="63ECD9C0">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1.项目投资主体工商营业执照、信用证明等，如负荷和电源为不同单位，需提供双方长期合作协议等材料。</w:t>
      </w:r>
    </w:p>
    <w:p w14:paraId="3D21C6D3">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2.负荷的核准（或备案）文件或地方政府确认项目建设单位的相关文件。</w:t>
      </w:r>
    </w:p>
    <w:p w14:paraId="72591AF7">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3.项目用林、用地等要素保障部门出具的选址支持性意见。</w:t>
      </w:r>
    </w:p>
    <w:p w14:paraId="74B0BFC7">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4.项目实施所在地人民政府同意意见。</w:t>
      </w:r>
    </w:p>
    <w:p w14:paraId="754ADC5F">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napToGrid w:val="0"/>
          <w:color w:val="000000"/>
          <w:kern w:val="0"/>
          <w:szCs w:val="32"/>
        </w:rPr>
      </w:pPr>
      <w:r>
        <w:rPr>
          <w:rFonts w:hint="default" w:ascii="Times New Roman" w:hAnsi="Times New Roman" w:eastAsia="仿宋_GB2312" w:cs="Times New Roman"/>
          <w:snapToGrid w:val="0"/>
          <w:color w:val="000000"/>
          <w:kern w:val="0"/>
          <w:szCs w:val="32"/>
        </w:rPr>
        <w:t>5.项目整体实施方案技术文本及附图（包括接入方案、继电保护及二次系统配置等）。</w:t>
      </w:r>
    </w:p>
    <w:p w14:paraId="6258BF2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rPr>
      </w:pPr>
      <w:r>
        <w:rPr>
          <w:rFonts w:hint="default" w:ascii="Times New Roman" w:hAnsi="Times New Roman" w:cs="Times New Roman"/>
          <w:snapToGrid w:val="0"/>
          <w:color w:val="000000"/>
          <w:kern w:val="0"/>
          <w:szCs w:val="32"/>
        </w:rPr>
        <w:t>6.源荷购售电协议、合同能源管理协议、产权划分与运行维护协议等其他材料。</w:t>
      </w:r>
    </w:p>
    <w:p w14:paraId="73C8A965">
      <w:pPr>
        <w:widowControl/>
        <w:spacing w:line="240" w:lineRule="auto"/>
        <w:ind w:firstLine="0" w:firstLineChars="0"/>
        <w:rPr>
          <w:rFonts w:hint="default" w:ascii="Times New Roman" w:hAnsi="Times New Roman" w:cs="Times New Roman"/>
        </w:rPr>
      </w:pPr>
    </w:p>
    <w:p w14:paraId="3350E6FB">
      <w:pPr>
        <w:spacing w:line="560" w:lineRule="exact"/>
        <w:ind w:firstLine="640" w:firstLineChars="200"/>
        <w:rPr>
          <w:rFonts w:hint="default" w:ascii="Times New Roman" w:hAnsi="Times New Roman" w:cs="Times New Roman"/>
          <w:szCs w:val="32"/>
        </w:rPr>
        <w:sectPr>
          <w:footerReference r:id="rId3" w:type="default"/>
          <w:pgSz w:w="11906" w:h="16838"/>
          <w:pgMar w:top="2098" w:right="1474" w:bottom="1984" w:left="1587" w:header="850" w:footer="2041" w:gutter="0"/>
          <w:pgBorders>
            <w:top w:val="none" w:sz="0" w:space="0"/>
            <w:left w:val="none" w:sz="0" w:space="0"/>
            <w:bottom w:val="none" w:sz="0" w:space="0"/>
            <w:right w:val="none" w:sz="0" w:space="0"/>
          </w:pgBorders>
          <w:pgNumType w:fmt="decimal"/>
          <w:cols w:space="720" w:num="1"/>
          <w:rtlGutter w:val="0"/>
          <w:docGrid w:type="lines" w:linePitch="440" w:charSpace="0"/>
        </w:sectPr>
      </w:pPr>
    </w:p>
    <w:p w14:paraId="2782701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BC57A">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36900F">
                          <w:pPr>
                            <w:pStyle w:val="3"/>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6F36900F">
                    <w:pPr>
                      <w:pStyle w:val="3"/>
                      <w:rPr>
                        <w:rFonts w:hint="default" w:ascii="Times New Roman" w:hAnsi="Times New Roman" w:cs="Times New Roman"/>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7DA6D"/>
    <w:multiLevelType w:val="singleLevel"/>
    <w:tmpl w:val="E647DA6D"/>
    <w:lvl w:ilvl="0" w:tentative="0">
      <w:start w:val="1"/>
      <w:numFmt w:val="chineseCountingThousand"/>
      <w:suff w:val="nothing"/>
      <w:lvlText w:val="（%1）"/>
      <w:lvlJc w:val="left"/>
      <w:pPr>
        <w:tabs>
          <w:tab w:val="left" w:pos="420"/>
        </w:tabs>
        <w:ind w:left="0" w:firstLine="0"/>
      </w:pPr>
      <w:rPr>
        <w:rFonts w:hint="eastAsia"/>
      </w:rPr>
    </w:lvl>
  </w:abstractNum>
  <w:abstractNum w:abstractNumId="1">
    <w:nsid w:val="F6A81E16"/>
    <w:multiLevelType w:val="singleLevel"/>
    <w:tmpl w:val="F6A81E16"/>
    <w:lvl w:ilvl="0" w:tentative="0">
      <w:start w:val="1"/>
      <w:numFmt w:val="chineseCountingThousand"/>
      <w:suff w:val="nothing"/>
      <w:lvlText w:val="（%1）"/>
      <w:lvlJc w:val="left"/>
      <w:pPr>
        <w:tabs>
          <w:tab w:val="left" w:pos="420"/>
        </w:tabs>
        <w:ind w:left="0" w:firstLine="0"/>
      </w:pPr>
      <w:rPr>
        <w:rFonts w:hint="eastAsia"/>
      </w:rPr>
    </w:lvl>
  </w:abstractNum>
  <w:abstractNum w:abstractNumId="2">
    <w:nsid w:val="5522BD9B"/>
    <w:multiLevelType w:val="singleLevel"/>
    <w:tmpl w:val="5522BD9B"/>
    <w:lvl w:ilvl="0" w:tentative="0">
      <w:start w:val="1"/>
      <w:numFmt w:val="chineseCountingThousand"/>
      <w:suff w:val="nothing"/>
      <w:lvlText w:val="（%1）"/>
      <w:lvlJc w:val="left"/>
      <w:pPr>
        <w:tabs>
          <w:tab w:val="left" w:pos="420"/>
        </w:tabs>
        <w:ind w:left="0" w:firstLine="0"/>
      </w:pPr>
      <w:rPr>
        <w:rFonts w:hint="eastAsia"/>
      </w:rPr>
    </w:lvl>
  </w:abstractNum>
  <w:abstractNum w:abstractNumId="3">
    <w:nsid w:val="6F01A0E0"/>
    <w:multiLevelType w:val="singleLevel"/>
    <w:tmpl w:val="6F01A0E0"/>
    <w:lvl w:ilvl="0" w:tentative="0">
      <w:start w:val="1"/>
      <w:numFmt w:val="chineseCountingThousand"/>
      <w:suff w:val="nothing"/>
      <w:lvlText w:val="%1、"/>
      <w:lvlJc w:val="left"/>
      <w:pPr>
        <w:tabs>
          <w:tab w:val="left" w:pos="420"/>
        </w:tabs>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30656"/>
    <w:rsid w:val="6E830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suppressAutoHyphens/>
      <w:spacing w:line="240" w:lineRule="auto"/>
      <w:ind w:firstLine="420" w:firstLineChars="200"/>
      <w:jc w:val="both"/>
    </w:pPr>
    <w:rPr>
      <w:rFonts w:ascii="Calibri" w:hAnsi="Calibri" w:eastAsia="仿宋"/>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able of figures"/>
    <w:basedOn w:val="1"/>
    <w:next w:val="1"/>
    <w:qFormat/>
    <w:uiPriority w:val="0"/>
    <w:pPr>
      <w:ind w:left="200" w:leftChars="200" w:hanging="200" w:hanging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2026-05-13T03:11:00Z</dcterms:created>
  <dc:creator>鲍恩</dc:creator>
  <cp:lastModifiedBy>鲍恩</cp:lastModifiedBy>
  <dcterms:modified xsi:type="dcterms:W3CDTF">2026-05-13T03:11:58Z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7A261A569B704E38AA89A01328AD0299_11</vt:lpwstr>
  </property>
  <property fmtid="{D5CDD505-2E9C-101B-9397-08002B2CF9AE}" pid="4" name="KSOTemplateDocerSaveRecord">
    <vt:lpwstr>eyJoZGlkIjoiNTdkNWNlZTEwYmQ4NmY1YWI4MmJmNGU0YWVhNzViZGQiLCJ1c2VySWQiOiI0NjA2NDI3NzcifQ==</vt:lpwstr>
  </property>
</Properties>
</file>