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B0592">
      <w:pPr>
        <w:pStyle w:val="5"/>
        <w:shd w:val="clear" w:color="auto" w:fill="FFFFFF"/>
        <w:snapToGrid w:val="0"/>
        <w:spacing w:before="0" w:beforeAutospacing="0" w:after="0" w:afterAutospacing="0" w:line="560" w:lineRule="exact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</w:p>
    <w:p w14:paraId="39CAAA62">
      <w:pPr>
        <w:pStyle w:val="5"/>
        <w:shd w:val="clear" w:color="auto" w:fill="FFFFFF"/>
        <w:snapToGrid w:val="0"/>
        <w:spacing w:before="0" w:beforeAutospacing="0" w:after="0" w:afterAutospacing="0" w:line="560" w:lineRule="exact"/>
        <w:jc w:val="center"/>
        <w:rPr>
          <w:rFonts w:eastAsia="方正小标宋_GBK"/>
          <w:sz w:val="44"/>
          <w:szCs w:val="44"/>
        </w:rPr>
      </w:pPr>
    </w:p>
    <w:p w14:paraId="331882AB">
      <w:pPr>
        <w:pStyle w:val="5"/>
        <w:shd w:val="clear" w:color="auto" w:fill="FFFFFF"/>
        <w:snapToGrid w:val="0"/>
        <w:spacing w:before="0" w:beforeAutospacing="0" w:after="0" w:afterAutospacing="0"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 xml:space="preserve">《四川省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6"/>
          <w:lang w:val="en-US" w:eastAsia="zh-CN"/>
        </w:rPr>
        <w:t>‘十五五’</w:t>
      </w:r>
      <w:r>
        <w:rPr>
          <w:rFonts w:eastAsia="方正小标宋_GBK"/>
          <w:sz w:val="44"/>
          <w:szCs w:val="44"/>
        </w:rPr>
        <w:t xml:space="preserve"> 期间支持科普事业发展免税进口自用科普影视作品拷贝、工作带、硬盘核定办法（征求意见稿）》</w:t>
      </w:r>
    </w:p>
    <w:p w14:paraId="6D92F338">
      <w:pPr>
        <w:pStyle w:val="5"/>
        <w:shd w:val="clear" w:color="auto" w:fill="FFFFFF"/>
        <w:snapToGrid w:val="0"/>
        <w:spacing w:before="0" w:beforeAutospacing="0" w:after="0" w:afterAutospacing="0" w:line="560" w:lineRule="exact"/>
        <w:jc w:val="center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  <w:lang w:eastAsia="zh-CN"/>
        </w:rPr>
        <w:t>起草说明</w:t>
      </w:r>
    </w:p>
    <w:p w14:paraId="35C5ACF1">
      <w:pPr>
        <w:pStyle w:val="5"/>
        <w:shd w:val="clear" w:color="auto" w:fill="FFFFFF"/>
        <w:snapToGrid w:val="0"/>
        <w:spacing w:before="0" w:beforeAutospacing="0" w:after="0" w:afterAutospacing="0" w:line="560" w:lineRule="exact"/>
        <w:jc w:val="both"/>
        <w:rPr>
          <w:rFonts w:hint="eastAsia" w:eastAsia="方正小标宋_GBK"/>
          <w:sz w:val="44"/>
          <w:szCs w:val="44"/>
          <w:lang w:eastAsia="zh-CN"/>
        </w:rPr>
      </w:pPr>
    </w:p>
    <w:p w14:paraId="1D23FD2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为规范四川省 “十五五” 期间科普事业发展免税进口自用科普影视作品拷贝、工作带、硬盘核定管理，落实国家进口税收优惠政策，结合我省实际，研究起草本办法，现将有关情况说明如下。</w:t>
      </w:r>
    </w:p>
    <w:p w14:paraId="38680575">
      <w:pPr>
        <w:autoSpaceDE w:val="0"/>
        <w:autoSpaceDN w:val="0"/>
        <w:adjustRightInd w:val="0"/>
        <w:spacing w:line="576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一、制定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背景</w:t>
      </w:r>
    </w:p>
    <w:p w14:paraId="6F6F91E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根据财政部、中央宣传部、科技部、工业和信息化部、海关总署、税务总局、广电总局《关于‘十五五’期间支持科普事业发展进口税收优惠政策管理办法的通知》（财关税〔2026〕13号）要求，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明确对科普单位进口自用科普影视作品相关载体给予免税支持。</w:t>
      </w:r>
    </w:p>
    <w:p w14:paraId="287C13D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确保国家政策在我省落地见效，规范申请、核定、监管全流程，明确部门职责、认定标准、办理程序，保障免税进口工作依法依规、公开公正、高效便捷，特制定本省级核定办法，作为我省执行该项政策的具体操作依据。</w:t>
      </w:r>
    </w:p>
    <w:p w14:paraId="2EAA89F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二、主要内容</w:t>
      </w:r>
    </w:p>
    <w:p w14:paraId="444A6A4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本办法共六章，主要内容如下。</w:t>
      </w:r>
    </w:p>
    <w:p w14:paraId="6EB0D77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第一章总则：明确立法目的、适用范围、核定原则、牵头与联审部门。</w:t>
      </w:r>
    </w:p>
    <w:p w14:paraId="791D446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第二章核定主体及职责：确定省科技厅牵头负责，省电影局、省广电局、省新闻出版局协同审核，分别明确受理、核定、函告、监管等具体职责。</w:t>
      </w:r>
    </w:p>
    <w:p w14:paraId="7CD937A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第三章认定条件：规定享惠载体需符合税则号列、自用科普、非商用、合法进口等条件。</w:t>
      </w:r>
    </w:p>
    <w:p w14:paraId="0A40747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第四章核定范围与标准：明确准予核定范围，列出商业用途、无关科普、无合法版权、主体失信等不予核定情形。</w:t>
      </w:r>
    </w:p>
    <w:p w14:paraId="40DF0C7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第五章申请与核定程序：规范申请、受理、联合审核、函告海关、税款退还、减免税办理等全流程，明确已征税款退还规则。</w:t>
      </w:r>
    </w:p>
    <w:p w14:paraId="33D53D8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第六章附则：明确违法违规责任、政策衔接事项及办法有效期（2026 年 1 月 1 日 —2030 年 12 月 31 日）。</w:t>
      </w:r>
    </w:p>
    <w:p w14:paraId="18BB666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4F5CA2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EFC11"/>
    <w:rsid w:val="19D546A6"/>
    <w:rsid w:val="3CF73C5F"/>
    <w:rsid w:val="3F5F90FD"/>
    <w:rsid w:val="6FEB10E1"/>
    <w:rsid w:val="75FEFC11"/>
    <w:rsid w:val="7EF5D171"/>
    <w:rsid w:val="7FDFB21E"/>
    <w:rsid w:val="7FF39FA2"/>
    <w:rsid w:val="DA377417"/>
    <w:rsid w:val="E4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671</Characters>
  <Lines>0</Lines>
  <Paragraphs>0</Paragraphs>
  <TotalTime>2</TotalTime>
  <ScaleCrop>false</ScaleCrop>
  <LinksUpToDate>false</LinksUpToDate>
  <CharactersWithSpaces>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2026-04-01T17:19:00Z</dcterms:created>
  <dc:creator>user</dc:creator>
  <cp:lastModifiedBy>柏林</cp:lastModifiedBy>
  <cp:lastPrinted>2026-03-31T19:12:00Z</cp:lastPrinted>
  <dcterms:modified xsi:type="dcterms:W3CDTF">2026-04-03T05:22:05Z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8ED124E53D9B4A6D8EF12C6ED059298D_13</vt:lpwstr>
  </property>
</Properties>
</file>