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AC6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四川省“十五五”享受科技创新</w:t>
      </w:r>
    </w:p>
    <w:p w14:paraId="2D583A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进口税收政策的科研院所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转制科研院所</w:t>
      </w:r>
    </w:p>
    <w:p w14:paraId="2DBAAE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新型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研发机构名单核定办法</w:t>
      </w:r>
    </w:p>
    <w:p w14:paraId="269506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（征求意见稿）</w:t>
      </w:r>
    </w:p>
    <w:p w14:paraId="268722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048BD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第一章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总则</w:t>
      </w:r>
    </w:p>
    <w:p w14:paraId="07BB6C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594D12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制定依据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】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贯彻落实财政部等12部委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《关于“十五五”期间支持科技创新进口税收优惠政策管理办法的通知》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财关税〔2026〕8号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要求，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规范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我省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科研院所、转制科研院所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事业单位类新型研发机构、科技类民办非企业单位类新型研发机构享受科技创新进口税收政策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的名单核定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，制定本办法。</w:t>
      </w:r>
    </w:p>
    <w:p w14:paraId="2B61FB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54BA29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第二章 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科研院所</w:t>
      </w:r>
    </w:p>
    <w:p w14:paraId="72BA6A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297636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科研院所范围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】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本办法所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科研院所是指由省、市（州）政府或部门、直属机构举办，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省、市（州）机构编制部门批复成立，主要从事科学研究工作的事业单位（包括科研院所所属具有独立法人资格的图书馆、研究生院）。</w:t>
      </w:r>
    </w:p>
    <w:p w14:paraId="68BECA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申请材料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】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申请单位应提交以下材料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一式四份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38ADD3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（一）机构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编制部门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批准成立的文件（复印件），暂无法提供机构编制部门文件的，可提供主管部门批准成立的文件（复印件）；</w:t>
      </w:r>
    </w:p>
    <w:p w14:paraId="302C8C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（二）事业单位法人证书（复印件）；</w:t>
      </w:r>
    </w:p>
    <w:p w14:paraId="2DA698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8" w:leftChars="304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（三）单位章程（复印件）；</w:t>
      </w:r>
    </w:p>
    <w:p w14:paraId="7A798C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8" w:leftChars="304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（四）享受科技创新进口税收政策申请表（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详见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附件1）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07B0C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核定程序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】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符合条件的省级、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市级科研院所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向主管部门提出申请，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主管部门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审核后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会同财政厅、四川省税务局、成都海关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核定。</w:t>
      </w:r>
    </w:p>
    <w:p w14:paraId="57372F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已纳入科技部《科学研究和技术服务业非企业单位科技统计调查名录》的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研究和试验发展类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科研院所，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会同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财政厅、四川省税务局、成都海关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直接核定，单位不再提出申请。</w:t>
      </w:r>
    </w:p>
    <w:p w14:paraId="3C7B91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19" w:leftChars="152" w:firstLine="2240" w:firstLineChars="7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7AEAEB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第三章 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转制科研院所</w:t>
      </w:r>
    </w:p>
    <w:p w14:paraId="235881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19" w:leftChars="152" w:firstLine="2240" w:firstLineChars="7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4529E0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转制科研院所范围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】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本办法所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转制科研院所是指根据国务院办公厅《转发科技部等部门关于深化科研机构管理体制改革实施意见的通知》（国办发〔2000〕38号）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省委办公厅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四川省科研院所改革总体方案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深化科研院所改革试点推进方案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》（川委厅〔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2016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24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号）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等文件精神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，省政府或部门、直属机构所属科研机构已转制为企业或进入企业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主要从事科学研究和技术开发工作的机构。</w:t>
      </w:r>
    </w:p>
    <w:p w14:paraId="3919C8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申请材料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】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申请单位应提交以下材料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一式四份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074B2E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（一）政府部门关于科研院所转制为企业的文件（复印件）；</w:t>
      </w:r>
    </w:p>
    <w:p w14:paraId="11226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（二）企业营业执照副本（复印件）；</w:t>
      </w:r>
    </w:p>
    <w:p w14:paraId="366A4A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（三）享受科技创新进口税收政策申请表（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详见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附件1）。</w:t>
      </w:r>
    </w:p>
    <w:p w14:paraId="7F711A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核定程序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】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符合条件的转制科研院所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向主管部门提出申请，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主管部门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审核后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会同财政厅、四川省税务局、成都海关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核定。</w:t>
      </w:r>
    </w:p>
    <w:p w14:paraId="5102E5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已纳入科技部《转制为企业的研究机构科技活动调查名录》的转制科研院所，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会同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财政厅、四川省税务局、成都海关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直接核定，单位不再提出申请。</w:t>
      </w:r>
    </w:p>
    <w:p w14:paraId="13C911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43F2C8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章 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事业单位类新型研发机构</w:t>
      </w:r>
    </w:p>
    <w:p w14:paraId="1B8A1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22D5C7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bidi="ar-SA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事业单位类新型研发机构范围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】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本办法所称事业单位类新型研发机构</w:t>
      </w:r>
      <w:r>
        <w:rPr>
          <w:rFonts w:hint="default" w:ascii="Times New Roman" w:hAnsi="Times New Roman" w:eastAsia="FangSong_GB2312" w:cs="Times New Roman"/>
          <w:sz w:val="32"/>
          <w:szCs w:val="24"/>
          <w:lang w:eastAsia="zh-CN"/>
        </w:rPr>
        <w:t>，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是指由</w:t>
      </w: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县级以上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机构编制部门批复成立，主要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从事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科学研究、技术开发和科技成果转移转化，以及研发服务等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科技创新活动</w:t>
      </w:r>
      <w:r>
        <w:rPr>
          <w:rFonts w:hint="default" w:ascii="Times New Roman" w:hAnsi="Times New Roman" w:eastAsia="FangSong_GB2312" w:cs="Times New Roman"/>
          <w:sz w:val="32"/>
          <w:szCs w:val="24"/>
          <w:lang w:eastAsia="zh-CN"/>
        </w:rPr>
        <w:t>，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但区别于传统科研院所的</w:t>
      </w: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事业单位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。</w:t>
      </w:r>
    </w:p>
    <w:p w14:paraId="7E0A6A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申请条件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】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FangSong_GB2312" w:cs="Times New Roman"/>
          <w:kern w:val="2"/>
          <w:sz w:val="32"/>
          <w:szCs w:val="24"/>
          <w:lang w:val="en-US" w:eastAsia="zh-CN" w:bidi="ar-SA"/>
        </w:rPr>
        <w:t>享受科技创新进口税收政策的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事业单位</w:t>
      </w:r>
      <w:r>
        <w:rPr>
          <w:rFonts w:hint="default" w:ascii="Times New Roman" w:hAnsi="Times New Roman" w:eastAsia="FangSong_GB2312" w:cs="Times New Roman"/>
          <w:kern w:val="2"/>
          <w:sz w:val="32"/>
          <w:szCs w:val="24"/>
          <w:lang w:val="en-US" w:eastAsia="zh-CN" w:bidi="ar-SA"/>
        </w:rPr>
        <w:t>类新型研发机构，应同时符合以下条件</w:t>
      </w:r>
      <w:r>
        <w:rPr>
          <w:rStyle w:val="6"/>
          <w:rFonts w:hint="default" w:ascii="Times New Roman" w:hAnsi="Times New Roman" w:eastAsia="FangSong_GB2312" w:cs="Times New Roman"/>
          <w:kern w:val="2"/>
          <w:sz w:val="32"/>
          <w:szCs w:val="24"/>
          <w:lang w:val="en-US" w:eastAsia="zh-CN" w:bidi="ar-SA"/>
        </w:rPr>
        <w:footnoteReference w:id="0"/>
      </w:r>
      <w:r>
        <w:rPr>
          <w:rFonts w:hint="default" w:ascii="Times New Roman" w:hAnsi="Times New Roman" w:eastAsia="FangSong_GB2312" w:cs="Times New Roman"/>
          <w:kern w:val="2"/>
          <w:sz w:val="32"/>
          <w:szCs w:val="24"/>
          <w:lang w:val="en-US" w:eastAsia="zh-CN" w:bidi="ar-SA"/>
        </w:rPr>
        <w:t>：</w:t>
      </w:r>
    </w:p>
    <w:p w14:paraId="1B24BF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lang w:eastAsia="zh-CN" w:bidi="ar-SA"/>
        </w:rPr>
      </w:pPr>
      <w:r>
        <w:rPr>
          <w:rFonts w:hint="default" w:ascii="Times New Roman" w:hAnsi="Times New Roman" w:eastAsia="FangSong_GB2312" w:cs="Times New Roman"/>
          <w:i w:val="0"/>
          <w:iCs w:val="0"/>
          <w:caps w:val="0"/>
          <w:spacing w:val="0"/>
          <w:kern w:val="2"/>
          <w:sz w:val="32"/>
          <w:szCs w:val="24"/>
          <w:shd w:val="clear"/>
          <w:lang w:eastAsia="zh-CN" w:bidi="ar-SA"/>
        </w:rPr>
        <w:t>1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spacing w:val="0"/>
          <w:kern w:val="2"/>
          <w:sz w:val="32"/>
          <w:szCs w:val="24"/>
          <w:shd w:val="clear"/>
          <w:lang w:val="en-US" w:eastAsia="zh-CN" w:bidi="ar-SA"/>
        </w:rPr>
        <w:t>.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auto"/>
          <w:lang w:bidi="ar-SA"/>
        </w:rPr>
        <w:t>具有独立法人资格，内控制度健全完善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auto"/>
          <w:lang w:eastAsia="zh-CN" w:bidi="ar-SA"/>
        </w:rPr>
        <w:t>；</w:t>
      </w:r>
    </w:p>
    <w:p w14:paraId="58E0B9A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lang w:eastAsia="zh-CN" w:bidi="ar-SA"/>
        </w:rPr>
      </w:pPr>
      <w:r>
        <w:rPr>
          <w:rFonts w:hint="default" w:ascii="Times New Roman" w:hAnsi="Times New Roman" w:eastAsia="FangSong_GB2312" w:cs="Times New Roman"/>
          <w:i w:val="0"/>
          <w:iCs w:val="0"/>
          <w:caps w:val="0"/>
          <w:spacing w:val="0"/>
          <w:kern w:val="2"/>
          <w:sz w:val="32"/>
          <w:szCs w:val="24"/>
          <w:shd w:val="clear"/>
          <w:lang w:eastAsia="zh-CN" w:bidi="ar-SA"/>
        </w:rPr>
        <w:t>2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spacing w:val="0"/>
          <w:kern w:val="2"/>
          <w:sz w:val="32"/>
          <w:szCs w:val="24"/>
          <w:shd w:val="clear"/>
          <w:lang w:val="en-US" w:eastAsia="zh-CN" w:bidi="ar-SA"/>
        </w:rPr>
        <w:t>.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auto"/>
          <w:lang w:bidi="ar-SA"/>
        </w:rPr>
        <w:t>主要开展基础研究、应用基础研究，产业共性关键技术研发、科技成果转移转化，以及研发服务等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auto"/>
          <w:lang w:eastAsia="zh-CN" w:bidi="ar-SA"/>
        </w:rPr>
        <w:t>；</w:t>
      </w:r>
    </w:p>
    <w:p w14:paraId="397539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lang w:eastAsia="zh-CN" w:bidi="ar-SA"/>
        </w:rPr>
      </w:pPr>
      <w:r>
        <w:rPr>
          <w:rFonts w:hint="default" w:ascii="Times New Roman" w:hAnsi="Times New Roman" w:eastAsia="FangSong_GB2312" w:cs="Times New Roman"/>
          <w:i w:val="0"/>
          <w:iCs w:val="0"/>
          <w:caps w:val="0"/>
          <w:spacing w:val="0"/>
          <w:kern w:val="2"/>
          <w:sz w:val="32"/>
          <w:szCs w:val="24"/>
          <w:shd w:val="clear"/>
          <w:lang w:eastAsia="zh-CN" w:bidi="ar-SA"/>
        </w:rPr>
        <w:t>3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spacing w:val="0"/>
          <w:kern w:val="2"/>
          <w:sz w:val="32"/>
          <w:szCs w:val="24"/>
          <w:shd w:val="clear"/>
          <w:lang w:val="en-US" w:eastAsia="zh-CN" w:bidi="ar-SA"/>
        </w:rPr>
        <w:t>.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auto"/>
          <w:lang w:bidi="ar-SA"/>
        </w:rPr>
        <w:t>拥有开展研发、试验、服务等所必需的条件和设施设备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auto"/>
          <w:lang w:eastAsia="zh-CN" w:bidi="ar-SA"/>
        </w:rPr>
        <w:t>；</w:t>
      </w:r>
    </w:p>
    <w:p w14:paraId="1B6256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lang w:eastAsia="zh-CN" w:bidi="ar-SA"/>
        </w:rPr>
      </w:pPr>
      <w:r>
        <w:rPr>
          <w:rFonts w:hint="default" w:ascii="Times New Roman" w:hAnsi="Times New Roman" w:eastAsia="FangSong_GB2312" w:cs="Times New Roman"/>
          <w:i w:val="0"/>
          <w:iCs w:val="0"/>
          <w:caps w:val="0"/>
          <w:spacing w:val="0"/>
          <w:kern w:val="2"/>
          <w:sz w:val="32"/>
          <w:szCs w:val="24"/>
          <w:shd w:val="clear"/>
          <w:lang w:eastAsia="zh-CN" w:bidi="ar-SA"/>
        </w:rPr>
        <w:t>4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spacing w:val="0"/>
          <w:kern w:val="2"/>
          <w:sz w:val="32"/>
          <w:szCs w:val="24"/>
          <w:shd w:val="clear"/>
          <w:lang w:val="en-US" w:eastAsia="zh-CN" w:bidi="ar-SA"/>
        </w:rPr>
        <w:t>.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auto"/>
          <w:lang w:bidi="ar-SA"/>
        </w:rPr>
        <w:t>具有结构相对合理稳定、研发能力较强的人才团队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auto"/>
          <w:lang w:eastAsia="zh-CN" w:bidi="ar-SA"/>
        </w:rPr>
        <w:t>；</w:t>
      </w:r>
    </w:p>
    <w:p w14:paraId="02DE2D9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lang w:bidi="ar-SA"/>
        </w:rPr>
      </w:pPr>
      <w:r>
        <w:rPr>
          <w:rFonts w:hint="default" w:ascii="Times New Roman" w:hAnsi="Times New Roman" w:eastAsia="FangSong_GB2312" w:cs="Times New Roman"/>
          <w:i w:val="0"/>
          <w:iCs w:val="0"/>
          <w:caps w:val="0"/>
          <w:spacing w:val="0"/>
          <w:kern w:val="2"/>
          <w:sz w:val="32"/>
          <w:szCs w:val="24"/>
          <w:shd w:val="clear"/>
          <w:lang w:eastAsia="zh-CN" w:bidi="ar-SA"/>
        </w:rPr>
        <w:t>5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spacing w:val="0"/>
          <w:kern w:val="2"/>
          <w:sz w:val="32"/>
          <w:szCs w:val="24"/>
          <w:shd w:val="clear"/>
          <w:lang w:val="en-US" w:eastAsia="zh-CN" w:bidi="ar-SA"/>
        </w:rPr>
        <w:t>.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auto"/>
          <w:lang w:bidi="ar-SA"/>
        </w:rPr>
        <w:t>具有相对稳定的收入来源，主要包括出资方投入，技术开发、技术转让、技术服务、技术咨询收入，政府购买服务收入等。</w:t>
      </w:r>
    </w:p>
    <w:p w14:paraId="41442F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申请材料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】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申请单位应提交以下申请材料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一式四份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3AD26A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机构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编制部门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批准成立的文件（复印件）；</w:t>
      </w:r>
    </w:p>
    <w:p w14:paraId="334F23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事业单位法人证书（复印件）；</w:t>
      </w:r>
    </w:p>
    <w:p w14:paraId="73BCBE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单位章程和管理制度（复印件）；</w:t>
      </w:r>
    </w:p>
    <w:p w14:paraId="60544C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享受科技创新进口税收政策申请表（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详见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附件1）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D05E3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核定程序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】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符合条件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事业单位类新型研发机构，向主管部门提出申请，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主管部门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审核后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会同财政厅、四川省税务局、成都海关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核定。</w:t>
      </w:r>
    </w:p>
    <w:p w14:paraId="5929CE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已纳入科技部《科学研究和技术服务业非企业单位科技统计调查名录》或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在科技厅备案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并在有效期内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的事业单位类新型研发机构，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会同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财政厅、四川省税务局、成都海关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直接核定，单位不再提出申请。</w:t>
      </w:r>
    </w:p>
    <w:p w14:paraId="5C378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78C4E4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章 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科技类民办非企业单位类新型研发机构</w:t>
      </w:r>
    </w:p>
    <w:p w14:paraId="5C928F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628A73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十二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科技类民办非企业单位类新型研发机构范围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】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本办法所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科技类民办非企业单位类新型研发机构，是指在省级民政部门登记注册的、具有独立法人资格，主要从事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科学研究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、技术开发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科技成果转移转化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以及研发服务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等科技创新活动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的机构。</w:t>
      </w:r>
    </w:p>
    <w:p w14:paraId="6099FC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十三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申请条件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】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FangSong_GB2312" w:cs="Times New Roman"/>
          <w:kern w:val="2"/>
          <w:sz w:val="32"/>
          <w:szCs w:val="24"/>
          <w:lang w:val="en-US" w:eastAsia="zh-CN" w:bidi="ar-SA"/>
        </w:rPr>
        <w:t>享受科技创新进口税收政策的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科技类民办非企业单位类新型研发机构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FangSong_GB2312" w:cs="Times New Roman"/>
          <w:kern w:val="2"/>
          <w:sz w:val="32"/>
          <w:szCs w:val="24"/>
          <w:lang w:val="en-US" w:eastAsia="zh-CN" w:bidi="ar-SA"/>
        </w:rPr>
        <w:t>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符合以下条件：</w:t>
      </w:r>
    </w:p>
    <w:p w14:paraId="11E27FD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FangSong_GB2312" w:cs="Times New Roman"/>
          <w:kern w:val="2"/>
          <w:sz w:val="32"/>
          <w:szCs w:val="24"/>
          <w:lang w:val="en-US" w:eastAsia="zh-CN" w:bidi="ar-SA"/>
        </w:rPr>
        <w:t>依照《民办非企业单位登记管理暂行条例》《民办非企业单位登记暂行办法》的要求，在省</w:t>
      </w:r>
      <w:r>
        <w:rPr>
          <w:rFonts w:hint="eastAsia" w:ascii="Times New Roman" w:hAnsi="Times New Roman" w:eastAsia="FangSong_GB2312" w:cs="Times New Roman"/>
          <w:kern w:val="2"/>
          <w:sz w:val="32"/>
          <w:szCs w:val="24"/>
          <w:lang w:val="en-US" w:eastAsia="zh-CN" w:bidi="ar-SA"/>
        </w:rPr>
        <w:t>级</w:t>
      </w:r>
      <w:r>
        <w:rPr>
          <w:rFonts w:hint="default" w:ascii="Times New Roman" w:hAnsi="Times New Roman" w:eastAsia="FangSong_GB2312" w:cs="Times New Roman"/>
          <w:kern w:val="2"/>
          <w:sz w:val="32"/>
          <w:szCs w:val="24"/>
          <w:lang w:val="en-US" w:eastAsia="zh-CN" w:bidi="ar-SA"/>
        </w:rPr>
        <w:t>民政部门登记注册的、具有独立法人资格的民办非企业单位；</w:t>
      </w:r>
    </w:p>
    <w:p w14:paraId="59686D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资产总额不低于300万元；</w:t>
      </w:r>
    </w:p>
    <w:p w14:paraId="459E08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从事科学研究工作的专业技术人员(指大专以上学历或中级以上技术职称专业技术人员)在20人以上，且占全部在职人员的比例不低于60%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25863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FangSong_GB2312" w:cs="Times New Roman"/>
          <w:kern w:val="2"/>
          <w:sz w:val="32"/>
          <w:szCs w:val="24"/>
          <w:lang w:val="en-US" w:eastAsia="zh-CN" w:bidi="ar-SA"/>
        </w:rPr>
        <w:t>4.具有相对稳定的收入来源，主要包括出资方投入，技术开发、技术转让、技术服务、技术咨询收入，政府购买服务收入等。</w:t>
      </w:r>
    </w:p>
    <w:p w14:paraId="1CED9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十四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申请材料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】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申请单位应提交以下材料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一式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份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4D417D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民办非企业单位登记证书（复印件）；</w:t>
      </w:r>
    </w:p>
    <w:p w14:paraId="760239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单位章程和管理制度（复印件）；</w:t>
      </w:r>
    </w:p>
    <w:p w14:paraId="555057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享受科技创新进口税收政策申请表（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详见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附件1）；</w:t>
      </w:r>
    </w:p>
    <w:p w14:paraId="4BC325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经具有资质的会计师事务所出具的资产审计报告（可提供单位在民政部门登记或年检时的审计报告）；</w:t>
      </w:r>
    </w:p>
    <w:p w14:paraId="28B92D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科技类民办非企业单位类新型研发机构人员名单表（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详见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），需提供社保缴纳情况或劳动合同、学历或技术职称等材料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34F9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核定程序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】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符合条件的科技类民办非企业单位类新型研发机构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有主管部门的，向主管部门申请，通过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主管部门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审核后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会同民政厅、财政厅、四川省税务局、成都海关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核定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主管部门的，由注册地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市级科技主管部门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审核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后，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会同民政厅、财政厅、四川省税务局、成都海关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进行核定。</w:t>
      </w:r>
    </w:p>
    <w:p w14:paraId="0D51D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在科技厅备案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并在有效期内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在民政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登记注册的科技类民办非企业单位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类新型研发机构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会同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民政厅、财政厅、四川省税务局、成都海关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直接核定，单位不再提出申请。</w:t>
      </w:r>
    </w:p>
    <w:p w14:paraId="0FEF04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11B4AB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黑体" w:cs="Times New Roman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第六章 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动态管理</w:t>
      </w:r>
    </w:p>
    <w:p w14:paraId="1345ED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511706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部门职责分工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】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科技厅会同财政厅、民政厅、成都海关和四川省税务局，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职责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名单核定及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后续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核定名单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由科技厅函告成都海关，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抄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送财政厅、民政厅、四川省税务局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并通知享惠主体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D2B89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分批次核定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】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名单核定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实行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全年受理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分批次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核定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第一批名单自202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年1月1日实施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后续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批次自核定函印发之日后第20日起实施。</w:t>
      </w:r>
    </w:p>
    <w:p w14:paraId="731E42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第十八条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享惠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有效期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纳入科技部《科学研究和技术服务业非企业单位科技统计调查名录》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《转制为企业的研究机构科技活动调查名录》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的单位，下一年度未被继续纳入的，享惠资格失效。在科技厅备案的事业单位类新型研发机构、科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技类民办非企业单位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类新型研发机构，享受政策的期限不得超过其备案有效期；有效期届满的，享惠资格失效。失去享惠资格的单位需按本办法规定的程序重新申请核定。</w:t>
      </w:r>
    </w:p>
    <w:p w14:paraId="13049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第十九条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变更情形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】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享惠单位发生更名、分立、合并、撤销、业务范围变更等情形的，应按本办法规定的程序重新申请核定。经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核定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符合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条件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的单位，自变更登记之日起，继续享受政策。经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核定不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符合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条件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的单位，自变更登记之日起停止享受政策。</w:t>
      </w:r>
    </w:p>
    <w:p w14:paraId="217266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1F55D7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第七章 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附则</w:t>
      </w:r>
    </w:p>
    <w:p w14:paraId="58350E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676C8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惩处及责任追究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】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单位如存在以虚报情况获得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享惠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资格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，由科技厅查实后函告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成都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海关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自函告之日起，该单位在本办法剩余有效期限内停止享受政策。</w:t>
      </w:r>
    </w:p>
    <w:p w14:paraId="79E98A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有关部门及其工作人员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执行政策过程中存在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违反政策规定的行为，以及滥用职权、玩忽职守、徇私舞弊等违规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违纪违法行为的，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依规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依纪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依法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追究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相应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责任；涉嫌犯罪的，依法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移送有关机关处理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716583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二十一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施行时间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本办法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施行，有效期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至20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年12月31日。</w:t>
      </w:r>
    </w:p>
    <w:p w14:paraId="322E97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880" w:firstLineChars="200"/>
        <w:jc w:val="left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B2A96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附件：1.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享受科技创新进口税收政策申请表</w:t>
      </w:r>
    </w:p>
    <w:p w14:paraId="5B8B00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622" w:firstLineChars="507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科技类民办非企业单位类新型研发机构人员名单表</w:t>
      </w:r>
    </w:p>
    <w:p w14:paraId="5CB46B79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4165DDA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BEB1E8F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1B8717A0">
      <w:pPr>
        <w:rPr>
          <w:rFonts w:hint="default" w:ascii="Times New Roman" w:hAnsi="Times New Roman" w:eastAsia="方正黑体_GBK" w:cs="Times New Roman"/>
          <w:sz w:val="32"/>
          <w:szCs w:val="32"/>
          <w:lang w:val="e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"/>
        </w:rPr>
        <w:t>1</w:t>
      </w:r>
    </w:p>
    <w:p w14:paraId="1698D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0"/>
          <w:szCs w:val="24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2"/>
          <w:szCs w:val="42"/>
        </w:rPr>
        <w:t>享受科技创新进口税收政策申请表</w:t>
      </w:r>
    </w:p>
    <w:tbl>
      <w:tblPr>
        <w:tblStyle w:val="4"/>
        <w:tblW w:w="926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8"/>
        <w:gridCol w:w="1647"/>
        <w:gridCol w:w="1207"/>
        <w:gridCol w:w="1359"/>
        <w:gridCol w:w="2939"/>
      </w:tblGrid>
      <w:tr w14:paraId="42BF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tblCellSpacing w:w="0" w:type="dxa"/>
          <w:jc w:val="center"/>
        </w:trPr>
        <w:tc>
          <w:tcPr>
            <w:tcW w:w="2108" w:type="dxa"/>
            <w:noWrap w:val="0"/>
            <w:vAlign w:val="center"/>
          </w:tcPr>
          <w:p w14:paraId="60541AE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152" w:type="dxa"/>
            <w:gridSpan w:val="4"/>
            <w:noWrap w:val="0"/>
            <w:vAlign w:val="center"/>
          </w:tcPr>
          <w:p w14:paraId="2EE6FF2D">
            <w:pPr>
              <w:widowControl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3787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tblCellSpacing w:w="0" w:type="dxa"/>
          <w:jc w:val="center"/>
        </w:trPr>
        <w:tc>
          <w:tcPr>
            <w:tcW w:w="2108" w:type="dxa"/>
            <w:noWrap w:val="0"/>
            <w:vAlign w:val="center"/>
          </w:tcPr>
          <w:p w14:paraId="5E91D65C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152" w:type="dxa"/>
            <w:gridSpan w:val="4"/>
            <w:noWrap w:val="0"/>
            <w:vAlign w:val="center"/>
          </w:tcPr>
          <w:p w14:paraId="619464A8">
            <w:pPr>
              <w:widowControl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6326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  <w:tblCellSpacing w:w="0" w:type="dxa"/>
          <w:jc w:val="center"/>
        </w:trPr>
        <w:tc>
          <w:tcPr>
            <w:tcW w:w="2108" w:type="dxa"/>
            <w:noWrap w:val="0"/>
            <w:vAlign w:val="center"/>
          </w:tcPr>
          <w:p w14:paraId="52E9821A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152" w:type="dxa"/>
            <w:gridSpan w:val="4"/>
            <w:noWrap w:val="0"/>
            <w:vAlign w:val="center"/>
          </w:tcPr>
          <w:p w14:paraId="1FF39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□科研院所       □事业单位类新型研发机构</w:t>
            </w:r>
          </w:p>
          <w:p w14:paraId="7E960091">
            <w:pPr>
              <w:spacing w:line="576" w:lineRule="exact"/>
              <w:jc w:val="both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 xml:space="preserve">□转制科研院所 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□科技类民办非企业单位类新型研发机构</w:t>
            </w:r>
          </w:p>
        </w:tc>
      </w:tr>
      <w:tr w14:paraId="4DDC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tblCellSpacing w:w="0" w:type="dxa"/>
          <w:jc w:val="center"/>
        </w:trPr>
        <w:tc>
          <w:tcPr>
            <w:tcW w:w="2108" w:type="dxa"/>
            <w:noWrap w:val="0"/>
            <w:vAlign w:val="center"/>
          </w:tcPr>
          <w:p w14:paraId="7BAB6A8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 w14:paraId="625DB114">
            <w:pPr>
              <w:widowControl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1BB65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939" w:type="dxa"/>
            <w:noWrap w:val="0"/>
            <w:vAlign w:val="center"/>
          </w:tcPr>
          <w:p w14:paraId="439C9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2A2E9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tblCellSpacing w:w="0" w:type="dxa"/>
          <w:jc w:val="center"/>
        </w:trPr>
        <w:tc>
          <w:tcPr>
            <w:tcW w:w="2108" w:type="dxa"/>
            <w:noWrap w:val="0"/>
            <w:vAlign w:val="center"/>
          </w:tcPr>
          <w:p w14:paraId="26869C86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设立日期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 w14:paraId="68998154">
            <w:pPr>
              <w:widowControl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4D7C8D24">
            <w:pPr>
              <w:widowControl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有效期限</w:t>
            </w:r>
          </w:p>
        </w:tc>
        <w:tc>
          <w:tcPr>
            <w:tcW w:w="2939" w:type="dxa"/>
            <w:noWrap w:val="0"/>
            <w:vAlign w:val="center"/>
          </w:tcPr>
          <w:p w14:paraId="19767497">
            <w:pPr>
              <w:widowControl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2ECF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5" w:hRule="atLeast"/>
          <w:tblCellSpacing w:w="0" w:type="dxa"/>
          <w:jc w:val="center"/>
        </w:trPr>
        <w:tc>
          <w:tcPr>
            <w:tcW w:w="2108" w:type="dxa"/>
            <w:noWrap w:val="0"/>
            <w:vAlign w:val="center"/>
          </w:tcPr>
          <w:p w14:paraId="047FE833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 w14:paraId="49F501B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7355B988">
            <w:pPr>
              <w:widowControl/>
              <w:spacing w:line="60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39" w:type="dxa"/>
            <w:noWrap w:val="0"/>
            <w:vAlign w:val="center"/>
          </w:tcPr>
          <w:p w14:paraId="7FAC2FA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68EDD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tblCellSpacing w:w="0" w:type="dxa"/>
          <w:jc w:val="center"/>
        </w:trPr>
        <w:tc>
          <w:tcPr>
            <w:tcW w:w="2108" w:type="dxa"/>
            <w:noWrap w:val="0"/>
            <w:vAlign w:val="center"/>
          </w:tcPr>
          <w:p w14:paraId="56965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业务</w:t>
            </w:r>
          </w:p>
          <w:p w14:paraId="36F03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范围</w:t>
            </w:r>
          </w:p>
        </w:tc>
        <w:tc>
          <w:tcPr>
            <w:tcW w:w="7152" w:type="dxa"/>
            <w:gridSpan w:val="4"/>
            <w:noWrap w:val="0"/>
            <w:vAlign w:val="center"/>
          </w:tcPr>
          <w:p w14:paraId="5694126E">
            <w:pPr>
              <w:widowControl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5779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tblCellSpacing w:w="0" w:type="dxa"/>
          <w:jc w:val="center"/>
        </w:trPr>
        <w:tc>
          <w:tcPr>
            <w:tcW w:w="2108" w:type="dxa"/>
            <w:noWrap w:val="0"/>
            <w:vAlign w:val="center"/>
          </w:tcPr>
          <w:p w14:paraId="1CD8A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职工总人数（人）</w:t>
            </w:r>
          </w:p>
        </w:tc>
        <w:tc>
          <w:tcPr>
            <w:tcW w:w="1647" w:type="dxa"/>
            <w:noWrap w:val="0"/>
            <w:vAlign w:val="center"/>
          </w:tcPr>
          <w:p w14:paraId="4FF67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5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D38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专业技术人员数（人）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939" w:type="dxa"/>
            <w:tcBorders>
              <w:left w:val="single" w:color="auto" w:sz="4" w:space="0"/>
            </w:tcBorders>
            <w:noWrap w:val="0"/>
            <w:vAlign w:val="center"/>
          </w:tcPr>
          <w:p w14:paraId="213C1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0B42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13" w:hRule="atLeast"/>
          <w:tblCellSpacing w:w="0" w:type="dxa"/>
          <w:jc w:val="center"/>
        </w:trPr>
        <w:tc>
          <w:tcPr>
            <w:tcW w:w="2108" w:type="dxa"/>
            <w:noWrap w:val="0"/>
            <w:vAlign w:val="center"/>
          </w:tcPr>
          <w:p w14:paraId="2328B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单位概况及开展科技创新活动、现有条件和人才团队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情况（1500字以内）</w:t>
            </w:r>
          </w:p>
        </w:tc>
        <w:tc>
          <w:tcPr>
            <w:tcW w:w="7152" w:type="dxa"/>
            <w:gridSpan w:val="4"/>
            <w:noWrap w:val="0"/>
            <w:vAlign w:val="center"/>
          </w:tcPr>
          <w:p w14:paraId="59E7A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4F3C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  <w:tblCellSpacing w:w="0" w:type="dxa"/>
          <w:jc w:val="center"/>
        </w:trPr>
        <w:tc>
          <w:tcPr>
            <w:tcW w:w="2108" w:type="dxa"/>
            <w:noWrap w:val="0"/>
            <w:vAlign w:val="center"/>
          </w:tcPr>
          <w:p w14:paraId="121F8186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申请单位意见</w:t>
            </w:r>
          </w:p>
        </w:tc>
        <w:tc>
          <w:tcPr>
            <w:tcW w:w="7152" w:type="dxa"/>
            <w:gridSpan w:val="4"/>
            <w:noWrap w:val="0"/>
            <w:vAlign w:val="center"/>
          </w:tcPr>
          <w:p w14:paraId="13E49326">
            <w:pPr>
              <w:widowControl/>
              <w:spacing w:line="600" w:lineRule="exact"/>
              <w:ind w:firstLine="960" w:firstLineChars="40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"/>
              </w:rPr>
            </w:pPr>
          </w:p>
          <w:p w14:paraId="4F36B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80" w:firstLineChars="17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（盖章）</w:t>
            </w:r>
          </w:p>
          <w:p w14:paraId="20BA5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年    月    日</w:t>
            </w:r>
          </w:p>
        </w:tc>
      </w:tr>
      <w:tr w14:paraId="36226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tblCellSpacing w:w="0" w:type="dxa"/>
          <w:jc w:val="center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CF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主管部门审核意见</w:t>
            </w:r>
          </w:p>
        </w:tc>
        <w:tc>
          <w:tcPr>
            <w:tcW w:w="7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91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309" w:firstLineChars="1379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44617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309" w:firstLineChars="1379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34D77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309" w:firstLineChars="1379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029F2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29" w:firstLineChars="1679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（盖章）</w:t>
            </w:r>
          </w:p>
          <w:p w14:paraId="0D58E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年    月    日</w:t>
            </w:r>
          </w:p>
        </w:tc>
      </w:tr>
    </w:tbl>
    <w:p w14:paraId="64FF4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25613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41D06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1572F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0F82A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057F0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2DA83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71494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238FF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322D2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13408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4C617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01BF4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00A72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5DC89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6C804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1696D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2DA2D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26EF0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780BF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5524C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6ED0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29535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4BF48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694AC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5E7E1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5B1B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4295D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19BF7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078B2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2DE23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72170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65FC9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76780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516BA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7F8CF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3F817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20DDD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5955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0FDFC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4"/>
        <w:tblW w:w="92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704"/>
        <w:gridCol w:w="1953"/>
        <w:gridCol w:w="1512"/>
        <w:gridCol w:w="3307"/>
      </w:tblGrid>
      <w:tr w14:paraId="71EC4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2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695D8">
            <w:pPr>
              <w:snapToGrid w:val="0"/>
              <w:spacing w:line="264" w:lineRule="auto"/>
              <w:jc w:val="both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  <w:lang w:val="e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</w:rPr>
              <w:t>附件</w:t>
            </w: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  <w:lang w:val="en"/>
              </w:rPr>
              <w:t>2</w:t>
            </w:r>
          </w:p>
          <w:p w14:paraId="10F0D139">
            <w:pPr>
              <w:snapToGrid w:val="0"/>
              <w:spacing w:line="264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  <w:lang w:val="en"/>
              </w:rPr>
            </w:pPr>
          </w:p>
          <w:p w14:paraId="5453536B">
            <w:pPr>
              <w:snapToGrid w:val="0"/>
              <w:spacing w:line="264" w:lineRule="auto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32"/>
                <w:szCs w:val="32"/>
              </w:rPr>
              <w:t>科技类民办非企业单位类新型研发机构人员名单表</w:t>
            </w:r>
          </w:p>
          <w:p w14:paraId="24FE47D6">
            <w:pPr>
              <w:snapToGrid w:val="0"/>
              <w:spacing w:line="264" w:lineRule="auto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2"/>
                <w:szCs w:val="32"/>
              </w:rPr>
            </w:pPr>
          </w:p>
        </w:tc>
      </w:tr>
      <w:tr w14:paraId="0A48B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59CBC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DE73E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B568D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学历/技术职称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6A768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是否从事科学研究工作</w:t>
            </w:r>
          </w:p>
        </w:tc>
        <w:tc>
          <w:tcPr>
            <w:tcW w:w="3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357F4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所在部门</w:t>
            </w:r>
          </w:p>
        </w:tc>
      </w:tr>
      <w:tr w14:paraId="57CD3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4A3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6A0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7E6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C434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C6D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2B3E6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35D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369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924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1F0B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10E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50D8C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6C6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63E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325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6133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07D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5275E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E71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568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48B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D8B6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CBC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7409A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3BE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D9A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ECF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F9CD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421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236F3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657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F51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5F0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F615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8B9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39E71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FA8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265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191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5FBD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C00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4884C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571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178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655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3066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47C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5C1BF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15C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8EF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0DD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6DEF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5AE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006FB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431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04D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3FA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0593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2CC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08923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955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509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6D8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302F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E03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05C3A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AAE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50F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9D7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EE9F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A43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5B124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FDE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F59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F7D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523D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253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4E4D1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445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12D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6C1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4917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5A1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5DEC6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B77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E7F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371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6A83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A37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</w:tbl>
    <w:p w14:paraId="0889E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5302F622">
      <w:pPr>
        <w:wordWrap/>
        <w:jc w:val="both"/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24A839CA">
      <w:pPr>
        <w:pStyle w:val="2"/>
        <w:snapToGrid w:val="0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Style w:val="6"/>
          <w:rFonts w:hint="eastAsia" w:ascii="方正仿宋_GBK" w:hAnsi="方正仿宋_GBK" w:eastAsia="方正仿宋_GBK" w:cs="方正仿宋_GBK"/>
        </w:rPr>
        <w:footnoteRef/>
      </w:r>
      <w:r>
        <w:rPr>
          <w:rFonts w:hint="eastAsia" w:ascii="方正仿宋_GBK" w:hAnsi="方正仿宋_GBK" w:eastAsia="方正仿宋_GBK" w:cs="方正仿宋_GBK"/>
        </w:rPr>
        <w:t xml:space="preserve"> </w:t>
      </w:r>
      <w:r>
        <w:rPr>
          <w:rFonts w:hint="eastAsia" w:ascii="方正仿宋_GBK" w:hAnsi="方正仿宋_GBK" w:eastAsia="方正仿宋_GBK" w:cs="方正仿宋_GBK"/>
          <w:lang w:val="en-US" w:eastAsia="zh-CN"/>
        </w:rPr>
        <w:t>科技厅</w:t>
      </w:r>
      <w:r>
        <w:rPr>
          <w:rFonts w:hint="eastAsia" w:ascii="方正仿宋_GBK" w:hAnsi="方正仿宋_GBK" w:eastAsia="方正仿宋_GBK" w:cs="方正仿宋_GBK"/>
          <w:lang w:eastAsia="zh-CN"/>
        </w:rPr>
        <w:t>《四川省新型研发机构建设管理办法》（川科政[2023]2号）。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B56FA"/>
    <w:rsid w:val="29BB2328"/>
    <w:rsid w:val="331F61ED"/>
    <w:rsid w:val="3ADA7DB8"/>
    <w:rsid w:val="482A714D"/>
    <w:rsid w:val="5AD734D4"/>
    <w:rsid w:val="5FC007F5"/>
    <w:rsid w:val="6D1D00CD"/>
    <w:rsid w:val="7698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otnote reference"/>
    <w:basedOn w:val="5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3637</Words>
  <Characters>3745</Characters>
  <Lines>0</Lines>
  <Paragraphs>0</Paragraphs>
  <TotalTime>2</TotalTime>
  <ScaleCrop>false</ScaleCrop>
  <LinksUpToDate>false</LinksUpToDate>
  <CharactersWithSpaces>3913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2026-03-26T13:27:00Z</dcterms:created>
  <dc:creator>vcxnjfgx</dc:creator>
  <cp:lastModifiedBy>柏林</cp:lastModifiedBy>
  <dcterms:modified xsi:type="dcterms:W3CDTF">2026-03-27T03:27:01Z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eyJoZGlkIjoiOTcyMjhhZTc1NjE0MmE0NDg4ZDk5NWViNDk1MWUzOGYiLCJ1c2VySWQiOiIyMTA2NjQxMjUifQ==</vt:lpwstr>
  </property>
  <property fmtid="{D5CDD505-2E9C-101B-9397-08002B2CF9AE}" pid="4" name="ICV">
    <vt:lpwstr>5A20CB622C1140D39AB5DA0F9404CF78_13</vt:lpwstr>
  </property>
</Properties>
</file>