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附件：</w:t>
      </w:r>
    </w:p>
    <w:p>
      <w:pPr>
        <w:pStyle w:val="2"/>
        <w:bidi w:val="0"/>
        <w:spacing w:line="240" w:lineRule="auto"/>
      </w:pPr>
      <w:r>
        <w:rPr>
          <w:rFonts w:hint="eastAsia"/>
        </w:rPr>
        <w:t>14家化工园区调整后基本情况表</w:t>
      </w:r>
    </w:p>
    <w:tbl>
      <w:tblPr>
        <w:tblStyle w:val="3"/>
        <w:tblW w:w="88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623"/>
        <w:gridCol w:w="1263"/>
        <w:gridCol w:w="1263"/>
        <w:gridCol w:w="57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序号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园区名称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调整后面积（公顷）</w:t>
            </w:r>
          </w:p>
        </w:tc>
        <w:tc>
          <w:tcPr>
            <w:tcW w:w="5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调整后四至范围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7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自贡川南新材料化工园区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849.3623</w:t>
            </w:r>
          </w:p>
        </w:tc>
        <w:tc>
          <w:tcPr>
            <w:tcW w:w="5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东至沿滩镇团结村3组、王井镇黄桷村7组，南至王井镇王井村10组、九洪乡齐岩村16组，西至黄市镇群英村3组、九洪乡齐岩村14组，北至黄市镇群英村12组、王井镇沱田村9组。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7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攀枝花钒钛化工园区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1769.8145</w:t>
            </w:r>
          </w:p>
        </w:tc>
        <w:tc>
          <w:tcPr>
            <w:tcW w:w="5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区块1：东至新九镇回龙村四平山、对门梁子，南至钛兴路，西至老鹰岩沟、干沟，北至菠萝果树沟、石观音沟；区块2：东至钒钛新材料产业园北延线，南至物流园主干道，西至金江镇鱼塘村鱼塘村民小组，北至金江镇保安营村石板村民小组；区块3：东至钒钛高新区二号路，南至攀枝花市仁通钒业有限公司，西至金江镇保安营村江边村民小组，北至攀枝花市水务集团公司钒钛产业园区一号泵站；区块4：东至钒钛高新区二号路，南至金江镇鱼塘村必鲊和箐头村民小组，西至京昆高速公路攀田段，北至金江镇鱼塘村团山村民小组；区块5：东至钒钛高新区二号路，南至金江镇鱼塘村必鲊村民小组，西至金江镇鱼塘村必鲊村民小组，北至钒钛高新区团山四路；区块6：东至金江镇鱼塘村必鲊村民小组，南至攀枝花永联环保科技有限公司，西至金江镇鱼塘村必鲊村民小组，北至攀枝花市立荣工贸有限责任公司；区块7：东至钒钛高新区一号线，南至金江镇鱼塘下淌皮村民小组，西至金江镇鱼塘村上淌皮村民小组，北至金江镇鱼塘村必鲊、箐头村民小组；区块8：东至四川攀枝花仁和经济开发区迤资园区，南至大龙潭乡新街村081乡道，西至大龙潭乡混撒拉村小水井、凹子田，北至大龙潭乡拉鲊村马头滩村民小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7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攀枝花格里坪化工园区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225.5800</w:t>
            </w:r>
          </w:p>
        </w:tc>
        <w:tc>
          <w:tcPr>
            <w:tcW w:w="5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区块1：东至龙庄路以西，南至攀煤联合焦化厂区以南，西至国道G353以东，北至国道G353以南；区块2：东至国道G353以西，南至格园中路一号支线及攀枝花盛谷环保科技有限公司以北，西至四川德胜集团攀枝花煤化工有限公司以东，北至翰通焦化厂区以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7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泸州泸天化化工园区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335.3537</w:t>
            </w:r>
          </w:p>
        </w:tc>
        <w:tc>
          <w:tcPr>
            <w:tcW w:w="5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区块1：东至蓝安大道延伸线，南至泸天化硝区油库，西至纳溪区老城，北至纳弥路；区块2：东至永宁河1公里控制线，南至煤气化南侧边缘，西至野鹿溪1公里控制线，北至九禾公司库房。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7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绵竹新材料化工园区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487.4880</w:t>
            </w:r>
          </w:p>
        </w:tc>
        <w:tc>
          <w:tcPr>
            <w:tcW w:w="5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区块1：东至壤塘路，南至绵远河，西至金川路，北至锂谷南路；区块2：东至金川路，南至绵远河，西至汉旺镇祥柳村，北至锂谷北路；区块3：东至成兰铁路，南至锂谷北路，西至省道S216，北至汉旺镇群新村、白溪河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7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威远页岩气综合利用化工园区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132.1087</w:t>
            </w:r>
          </w:p>
        </w:tc>
        <w:tc>
          <w:tcPr>
            <w:tcW w:w="5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东至中岭村5组，南至杉树村6组，西至杉树村9组，北至杉树村22组。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7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南充经开化工园区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772.8342</w:t>
            </w:r>
          </w:p>
        </w:tc>
        <w:tc>
          <w:tcPr>
            <w:tcW w:w="5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东至指北路，南至沿江一公里线，西至顺河路，北至同心路。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7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广安新桥化工园区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1759.5740</w:t>
            </w:r>
          </w:p>
        </w:tc>
        <w:tc>
          <w:tcPr>
            <w:tcW w:w="5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东至新桥街道保和社区、高峰村，南至代市镇水磨村、帽合村，西至代市镇会龙村、长五村，北至代市镇围坪村、大佛寺街道拱桥村。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7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岳池朝阳化工园区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247.2794</w:t>
            </w:r>
          </w:p>
        </w:tc>
        <w:tc>
          <w:tcPr>
            <w:tcW w:w="5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东至幸福路，南至经开区一环路，西至朝阳变电站，北至光彩路。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7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石棉竹马化工园区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200.5720</w:t>
            </w:r>
          </w:p>
        </w:tc>
        <w:tc>
          <w:tcPr>
            <w:tcW w:w="5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区块1：东至竹马园区公路，南至烽火坪渣场，西至竹马村自然山体，北至园区污水处理厂；区块2东至竹马园区公路，南至集能新材料公司，西至竹马村自然山体，北至盛和环保公司；区块3：东至竹马园区公路，南至化工园区封闭化卡口，西至竹马村自然山体，北至竹马园区公路；区块4：东至竹马园区公路，南至茂森新材料公司，西至蓝晟新材料公司，北至泽雍新材料公司；区块5：东至省道S217，南至竹马消防站，西至竹马村自然山体，北至达兴硅业公司；区块6：东至竹马河，南至竹马河，西至省道S217，北至苏通电子公司；区块7：东至省道S217，南至竹马公路，西至竹马河北至弗莱盟新材料公司；区块8：东至竹马村自然山体，南至天钰科技公司，西至园区内部道路，北至竹马公路；区块9：东至天钰科技公司，南至天钰科技公司，西至竹马河，北至园区内部道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7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眉山高新化工园区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810.0956</w:t>
            </w:r>
          </w:p>
        </w:tc>
        <w:tc>
          <w:tcPr>
            <w:tcW w:w="5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东至农林路，南至南环线，西至工业大道，北至新能源新材料融合创新中心北侧。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7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彭山成眉化工园区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421.5053</w:t>
            </w:r>
          </w:p>
        </w:tc>
        <w:tc>
          <w:tcPr>
            <w:tcW w:w="5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东至实业南路，南至东坡区悦兴镇与彭山区交界线，西至工业大道，北至杉杉（原创新一路）。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7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眉山甘眉化工园区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604.8685</w:t>
            </w:r>
          </w:p>
        </w:tc>
        <w:tc>
          <w:tcPr>
            <w:tcW w:w="5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区块1：东至工业环线，南至铝城社区，西至工业大道，北至南环路；区块2：东至新威能源，南至昱辉路，西至进修路西段，北至团结路。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7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凉山高新化工园区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572.9588</w:t>
            </w:r>
          </w:p>
        </w:tc>
        <w:tc>
          <w:tcPr>
            <w:tcW w:w="5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东至农垦公司老狼窝山，南至赖家山，西至规划大洋堆西路，北至攀钢西昌钢钒北围墙。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FB9D2"/>
    <w:rsid w:val="7BEFB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方正仿宋_GBK" w:cs="Wingdings 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pageBreakBefore w:val="0"/>
      <w:tabs>
        <w:tab w:val="left" w:pos="420"/>
      </w:tabs>
      <w:adjustRightInd/>
      <w:snapToGrid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_GBK" w:cs="Wingdings 2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表格五号"/>
    <w:basedOn w:val="1"/>
    <w:qFormat/>
    <w:uiPriority w:val="0"/>
    <w:pPr>
      <w:spacing w:line="300" w:lineRule="exact"/>
      <w:ind w:firstLine="0" w:firstLineChars="0"/>
      <w:jc w:val="center"/>
    </w:pPr>
    <w:rPr>
      <w:rFonts w:ascii="Times New Roman" w:hAnsi="Times New Roman" w:eastAsia="宋体" w:cs="Wingdings 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2026-03-16T14:18:00Z</dcterms:created>
  <dc:creator>user</dc:creator>
  <cp:lastModifiedBy>user</cp:lastModifiedBy>
  <dcterms:modified xsi:type="dcterms:W3CDTF">2026-03-16T14:19:01Z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