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B7DEE8" w:themeColor="accent5" w:themeTint="66"/>
  <w:body>
    <w:p w14:paraId="7BC662B1">
      <w:pPr>
        <w:pStyle w:val="12"/>
        <w:rPr>
          <w:rFonts w:hint="default" w:ascii="Times New Roman" w:hAnsi="Times New Roman" w:eastAsia="黑体" w:cs="Times New Roman"/>
          <w:b w:val="0"/>
          <w:bCs w:val="0"/>
          <w:color w:val="000000"/>
          <w:kern w:val="2"/>
          <w:sz w:val="32"/>
          <w:szCs w:val="32"/>
          <w:lang w:val="en-US" w:eastAsia="zh-CN" w:bidi="ar-SA"/>
        </w:rPr>
      </w:pPr>
      <w:bookmarkStart w:id="0" w:name="OLE_LINK56"/>
      <w:bookmarkStart w:id="1" w:name="OLE_LINK55"/>
      <w:bookmarkStart w:id="2" w:name="_GoBack"/>
      <w:bookmarkEnd w:id="2"/>
    </w:p>
    <w:p w14:paraId="06A96FB4">
      <w:pPr>
        <w:pStyle w:val="12"/>
        <w:rPr>
          <w:rFonts w:hint="default" w:ascii="Times New Roman" w:hAnsi="Times New Roman" w:eastAsia="黑体" w:cs="Times New Roman"/>
          <w:b w:val="0"/>
          <w:bCs w:val="0"/>
          <w:color w:val="000000"/>
          <w:kern w:val="2"/>
          <w:sz w:val="32"/>
          <w:szCs w:val="32"/>
          <w:lang w:val="en-US" w:eastAsia="zh-CN" w:bidi="ar-SA"/>
        </w:rPr>
      </w:pPr>
    </w:p>
    <w:p w14:paraId="4F63C37D">
      <w:pPr>
        <w:keepNext w:val="0"/>
        <w:keepLines w:val="0"/>
        <w:pageBreakBefore w:val="0"/>
        <w:widowControl w:val="0"/>
        <w:kinsoku/>
        <w:wordWrap/>
        <w:overflowPunct/>
        <w:topLinePunct/>
        <w:autoSpaceDE w:val="0"/>
        <w:autoSpaceDN w:val="0"/>
        <w:bidi w:val="0"/>
        <w:adjustRightInd w:val="0"/>
        <w:snapToGrid w:val="0"/>
        <w:spacing w:before="0" w:line="560" w:lineRule="exact"/>
        <w:jc w:val="center"/>
        <w:textAlignment w:val="baseline"/>
        <w:rPr>
          <w:rFonts w:hint="default" w:ascii="Times New Roman" w:hAnsi="Times New Roman" w:eastAsia="方正小标宋_GBK" w:cs="Times New Roman"/>
          <w:snapToGrid w:val="0"/>
          <w:color w:val="000000"/>
          <w:spacing w:val="9"/>
          <w:kern w:val="0"/>
          <w:sz w:val="44"/>
          <w:szCs w:val="44"/>
          <w:lang w:val="en-US" w:eastAsia="zh-CN"/>
        </w:rPr>
      </w:pPr>
      <w:r>
        <w:rPr>
          <w:rFonts w:hint="default" w:ascii="Times New Roman" w:hAnsi="Times New Roman" w:eastAsia="方正小标宋_GBK" w:cs="Times New Roman"/>
          <w:snapToGrid w:val="0"/>
          <w:color w:val="000000"/>
          <w:spacing w:val="9"/>
          <w:kern w:val="0"/>
          <w:sz w:val="44"/>
          <w:szCs w:val="44"/>
          <w:lang w:val="en-US" w:eastAsia="zh-CN"/>
        </w:rPr>
        <w:t>四川省科学技术行政处罚</w:t>
      </w:r>
    </w:p>
    <w:p w14:paraId="26CF4534">
      <w:pPr>
        <w:keepNext w:val="0"/>
        <w:keepLines w:val="0"/>
        <w:pageBreakBefore w:val="0"/>
        <w:widowControl w:val="0"/>
        <w:kinsoku/>
        <w:wordWrap/>
        <w:overflowPunct/>
        <w:topLinePunct/>
        <w:autoSpaceDE w:val="0"/>
        <w:autoSpaceDN w:val="0"/>
        <w:bidi w:val="0"/>
        <w:adjustRightInd w:val="0"/>
        <w:snapToGrid w:val="0"/>
        <w:spacing w:before="0" w:line="560" w:lineRule="exact"/>
        <w:jc w:val="center"/>
        <w:textAlignment w:val="baseline"/>
        <w:rPr>
          <w:rFonts w:hint="default" w:ascii="Times New Roman" w:hAnsi="Times New Roman" w:eastAsia="方正小标宋_GBK" w:cs="Times New Roman"/>
          <w:snapToGrid w:val="0"/>
          <w:color w:val="000000"/>
          <w:spacing w:val="9"/>
          <w:kern w:val="0"/>
          <w:sz w:val="44"/>
          <w:szCs w:val="44"/>
          <w:lang w:val="en-US" w:eastAsia="zh-CN"/>
        </w:rPr>
      </w:pPr>
      <w:r>
        <w:rPr>
          <w:rFonts w:hint="default" w:ascii="Times New Roman" w:hAnsi="Times New Roman" w:eastAsia="方正小标宋_GBK" w:cs="Times New Roman"/>
          <w:snapToGrid w:val="0"/>
          <w:color w:val="000000"/>
          <w:spacing w:val="9"/>
          <w:kern w:val="0"/>
          <w:sz w:val="44"/>
          <w:szCs w:val="44"/>
          <w:lang w:val="en-US" w:eastAsia="zh-CN"/>
        </w:rPr>
        <w:t>裁量权基准实施办法</w:t>
      </w:r>
      <w:r>
        <w:rPr>
          <w:rFonts w:hint="eastAsia" w:ascii="Times New Roman" w:hAnsi="Times New Roman" w:eastAsia="方正小标宋_GBK" w:cs="Times New Roman"/>
          <w:snapToGrid w:val="0"/>
          <w:color w:val="000000"/>
          <w:spacing w:val="9"/>
          <w:kern w:val="0"/>
          <w:sz w:val="44"/>
          <w:szCs w:val="44"/>
          <w:lang w:val="en-US" w:eastAsia="zh-CN"/>
        </w:rPr>
        <w:t>（试行）</w:t>
      </w:r>
    </w:p>
    <w:p w14:paraId="4484E1D5">
      <w:pPr>
        <w:keepNext w:val="0"/>
        <w:keepLines w:val="0"/>
        <w:pageBreakBefore w:val="0"/>
        <w:widowControl w:val="0"/>
        <w:kinsoku/>
        <w:wordWrap/>
        <w:overflowPunct/>
        <w:topLinePunct/>
        <w:autoSpaceDE w:val="0"/>
        <w:autoSpaceDN w:val="0"/>
        <w:bidi w:val="0"/>
        <w:adjustRightInd w:val="0"/>
        <w:snapToGrid w:val="0"/>
        <w:spacing w:before="0" w:line="560" w:lineRule="exact"/>
        <w:jc w:val="center"/>
        <w:textAlignment w:val="baseline"/>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pacing w:val="14"/>
          <w:sz w:val="32"/>
          <w:szCs w:val="32"/>
        </w:rPr>
        <w:t>（</w:t>
      </w:r>
      <w:r>
        <w:rPr>
          <w:rFonts w:hint="default" w:ascii="Times New Roman" w:hAnsi="Times New Roman" w:eastAsia="楷体_GB2312" w:cs="Times New Roman"/>
          <w:b/>
          <w:bCs/>
          <w:spacing w:val="14"/>
          <w:sz w:val="32"/>
          <w:szCs w:val="32"/>
          <w:lang w:eastAsia="zh-CN"/>
        </w:rPr>
        <w:t>征求意见稿</w:t>
      </w:r>
      <w:r>
        <w:rPr>
          <w:rFonts w:hint="default" w:ascii="Times New Roman" w:hAnsi="Times New Roman" w:eastAsia="楷体_GB2312" w:cs="Times New Roman"/>
          <w:b/>
          <w:bCs/>
          <w:spacing w:val="14"/>
          <w:sz w:val="32"/>
          <w:szCs w:val="32"/>
        </w:rPr>
        <w:t>）</w:t>
      </w:r>
    </w:p>
    <w:p w14:paraId="62884B42">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jc w:val="center"/>
        <w:textAlignment w:val="auto"/>
        <w:outlineLvl w:val="9"/>
        <w:rPr>
          <w:rFonts w:hint="default" w:ascii="Times New Roman" w:hAnsi="Times New Roman" w:eastAsia="方正小标宋简体" w:cs="Times New Roman"/>
          <w:kern w:val="2"/>
          <w:sz w:val="32"/>
          <w:szCs w:val="32"/>
          <w:lang w:val="en-US" w:eastAsia="zh-CN" w:bidi="ar"/>
        </w:rPr>
      </w:pPr>
    </w:p>
    <w:p w14:paraId="355277D0">
      <w:pPr>
        <w:keepNext w:val="0"/>
        <w:keepLines w:val="0"/>
        <w:pageBreakBefore w:val="0"/>
        <w:widowControl w:val="0"/>
        <w:kinsoku/>
        <w:wordWrap/>
        <w:overflowPunct/>
        <w:topLinePunct/>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kern w:val="2"/>
          <w:sz w:val="32"/>
          <w:szCs w:val="32"/>
          <w:lang w:val="en-US" w:eastAsia="zh-CN" w:bidi="ar"/>
        </w:rPr>
      </w:pPr>
      <w:r>
        <w:rPr>
          <w:rFonts w:hint="default" w:ascii="Times New Roman" w:hAnsi="Times New Roman" w:eastAsia="黑体" w:cs="Times New Roman"/>
          <w:snapToGrid w:val="0"/>
          <w:color w:val="000000"/>
          <w:kern w:val="0"/>
          <w:sz w:val="32"/>
          <w:szCs w:val="32"/>
          <w:lang w:val="en-US" w:eastAsia="zh-CN" w:bidi="ar-SA"/>
        </w:rPr>
        <w:t>第一章  总则</w:t>
      </w:r>
    </w:p>
    <w:p w14:paraId="31EF70AE">
      <w:pPr>
        <w:keepNext w:val="0"/>
        <w:keepLines w:val="0"/>
        <w:pageBreakBefore w:val="0"/>
        <w:widowControl w:val="0"/>
        <w:suppressLineNumbers w:val="0"/>
        <w:tabs>
          <w:tab w:val="left" w:pos="2100"/>
        </w:tabs>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3" w:firstLineChars="200"/>
        <w:jc w:val="both"/>
        <w:textAlignment w:val="auto"/>
        <w:outlineLvl w:val="9"/>
        <w:rPr>
          <w:rFonts w:hint="default" w:ascii="Times New Roman" w:hAnsi="Times New Roman" w:cs="Times New Roman"/>
          <w:szCs w:val="32"/>
          <w:lang w:val="en-US"/>
        </w:rPr>
      </w:pPr>
      <w:r>
        <w:rPr>
          <w:rFonts w:hint="eastAsia" w:ascii="仿宋_GB2312" w:hAnsi="仿宋_GB2312" w:eastAsia="仿宋_GB2312" w:cs="仿宋_GB2312"/>
          <w:b/>
          <w:bCs/>
          <w:kern w:val="2"/>
          <w:sz w:val="32"/>
          <w:szCs w:val="32"/>
          <w:lang w:val="en-US" w:eastAsia="zh-CN" w:bidi="ar"/>
        </w:rPr>
        <w:t xml:space="preserve">第一条  </w:t>
      </w:r>
      <w:r>
        <w:rPr>
          <w:rFonts w:hint="eastAsia" w:ascii="楷体_GB2312" w:hAnsi="楷体_GB2312" w:eastAsia="楷体_GB2312" w:cs="楷体_GB2312"/>
          <w:kern w:val="2"/>
          <w:sz w:val="32"/>
          <w:szCs w:val="32"/>
          <w:lang w:val="en-US" w:eastAsia="zh-CN" w:bidi="ar"/>
        </w:rPr>
        <w:t>【目的及依据】</w:t>
      </w:r>
      <w:r>
        <w:rPr>
          <w:rFonts w:hint="default" w:ascii="Times New Roman" w:hAnsi="Times New Roman" w:eastAsia="仿宋_GB2312" w:cs="Times New Roman"/>
          <w:kern w:val="2"/>
          <w:sz w:val="32"/>
          <w:szCs w:val="32"/>
          <w:lang w:val="en-US" w:eastAsia="zh-CN" w:bidi="ar"/>
        </w:rPr>
        <w:t>为规范全省科技系统行政处罚裁量权，促进依法行政，保护公民、法人和其他组织的合法权益，根据《中华人民共和国行政处罚法》、《实验动物管理条例》、《科学技术部行政处罚实施办法》（2023年</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科学技术部令第20号）、《四川省促进科技成果转化条例》、《四川省行政裁量权基准管理规定》（2024年</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四川省人民政府令第360号）、《四川省科学技术奖励办法》（2024年</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四川省人民政府令第365号）等法律、法规、规章规定，结合我省科技工作实际，制定本办法。</w:t>
      </w:r>
    </w:p>
    <w:p w14:paraId="4D8D7194">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3"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eastAsia" w:ascii="仿宋_GB2312" w:hAnsi="仿宋_GB2312" w:eastAsia="仿宋_GB2312" w:cs="仿宋_GB2312"/>
          <w:b/>
          <w:bCs/>
          <w:color w:val="000000"/>
          <w:kern w:val="2"/>
          <w:sz w:val="32"/>
          <w:szCs w:val="32"/>
          <w:lang w:val="en-US" w:eastAsia="zh-CN" w:bidi="ar"/>
        </w:rPr>
        <w:t xml:space="preserve">第二条  </w:t>
      </w:r>
      <w:r>
        <w:rPr>
          <w:rFonts w:hint="eastAsia" w:ascii="楷体_GB2312" w:hAnsi="楷体_GB2312" w:eastAsia="楷体_GB2312" w:cs="楷体_GB2312"/>
          <w:kern w:val="2"/>
          <w:sz w:val="32"/>
          <w:szCs w:val="32"/>
          <w:lang w:val="en-US" w:eastAsia="zh-CN" w:bidi="ar"/>
        </w:rPr>
        <w:t>【适用范围】</w:t>
      </w:r>
      <w:r>
        <w:rPr>
          <w:rFonts w:hint="default" w:ascii="Times New Roman" w:hAnsi="Times New Roman" w:eastAsia="仿宋_GB2312" w:cs="Times New Roman"/>
          <w:color w:val="000000"/>
          <w:kern w:val="2"/>
          <w:sz w:val="32"/>
          <w:szCs w:val="32"/>
          <w:lang w:val="en-US" w:eastAsia="zh-CN" w:bidi="ar"/>
        </w:rPr>
        <w:t>本省各级科技行政管理部门在办理行政处罚案件，行使行政处罚裁量权时，适用本办法。</w:t>
      </w:r>
    </w:p>
    <w:p w14:paraId="3F1A608C">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3" w:firstLineChars="200"/>
        <w:jc w:val="both"/>
        <w:textAlignment w:val="auto"/>
        <w:outlineLvl w:val="9"/>
        <w:rPr>
          <w:rFonts w:hint="default" w:ascii="Times New Roman" w:hAnsi="Times New Roman" w:cs="Times New Roman"/>
          <w:color w:val="FF0000"/>
          <w:szCs w:val="32"/>
          <w:lang w:val="en-US"/>
        </w:rPr>
      </w:pPr>
      <w:r>
        <w:rPr>
          <w:rFonts w:hint="default" w:ascii="仿宋_GB2312" w:hAnsi="仿宋_GB2312" w:eastAsia="仿宋_GB2312" w:cs="仿宋_GB2312"/>
          <w:b/>
          <w:bCs/>
          <w:color w:val="000000"/>
          <w:kern w:val="2"/>
          <w:sz w:val="32"/>
          <w:szCs w:val="32"/>
          <w:lang w:val="en-US" w:eastAsia="zh-CN" w:bidi="ar"/>
        </w:rPr>
        <w:t xml:space="preserve">第三条  </w:t>
      </w:r>
      <w:r>
        <w:rPr>
          <w:rFonts w:hint="eastAsia" w:ascii="楷体_GB2312" w:hAnsi="楷体_GB2312" w:eastAsia="楷体_GB2312" w:cs="楷体_GB2312"/>
          <w:kern w:val="2"/>
          <w:sz w:val="32"/>
          <w:szCs w:val="32"/>
          <w:lang w:val="en-US" w:eastAsia="zh-CN" w:bidi="ar"/>
        </w:rPr>
        <w:t>【基准定义】</w:t>
      </w:r>
      <w:r>
        <w:rPr>
          <w:rFonts w:hint="default" w:ascii="Times New Roman" w:hAnsi="Times New Roman" w:eastAsia="仿宋_GB2312" w:cs="Times New Roman"/>
          <w:color w:val="000000"/>
          <w:kern w:val="2"/>
          <w:sz w:val="32"/>
          <w:szCs w:val="32"/>
          <w:lang w:val="en-US" w:eastAsia="zh-CN" w:bidi="ar"/>
        </w:rPr>
        <w:t>本办法所称行政裁量权基准是指科技行政管理部门结合本地区本部门行政管理实际</w:t>
      </w:r>
      <w:r>
        <w:rPr>
          <w:rFonts w:hint="eastAsia" w:ascii="Times New Roman" w:hAnsi="Times New Roman" w:eastAsia="仿宋_GB2312" w:cs="Times New Roman"/>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对法律、法规</w:t>
      </w:r>
      <w:r>
        <w:rPr>
          <w:rFonts w:hint="eastAsia" w:ascii="Times New Roman" w:hAnsi="Times New Roman" w:eastAsia="仿宋_GB2312" w:cs="Times New Roman"/>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规章中的原则性规定或者具有裁量空间的内容进行细化量化</w:t>
      </w:r>
      <w:r>
        <w:rPr>
          <w:rFonts w:hint="eastAsia" w:ascii="Times New Roman" w:hAnsi="Times New Roman" w:eastAsia="仿宋_GB2312" w:cs="Times New Roman"/>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以特定形式向社会公布并施行的具体执法尺度和标准</w:t>
      </w:r>
      <w:r>
        <w:rPr>
          <w:rFonts w:hint="eastAsia" w:ascii="Times New Roman" w:hAnsi="Times New Roman" w:eastAsia="仿宋_GB2312" w:cs="Times New Roman"/>
          <w:color w:val="000000"/>
          <w:kern w:val="2"/>
          <w:sz w:val="32"/>
          <w:szCs w:val="32"/>
          <w:lang w:val="en-US" w:eastAsia="zh-CN" w:bidi="ar"/>
        </w:rPr>
        <w:t>。</w:t>
      </w:r>
      <w:r>
        <w:rPr>
          <w:rStyle w:val="16"/>
          <w:rFonts w:hint="default" w:ascii="Times New Roman" w:hAnsi="Times New Roman" w:eastAsia="仿宋_GB2312" w:cs="Times New Roman"/>
          <w:color w:val="000000"/>
          <w:kern w:val="2"/>
          <w:sz w:val="32"/>
          <w:szCs w:val="32"/>
          <w:lang w:val="en-US" w:eastAsia="zh-CN" w:bidi="ar"/>
        </w:rPr>
        <w:footnoteReference w:id="0"/>
      </w:r>
    </w:p>
    <w:p w14:paraId="05D9D3B6">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3" w:firstLineChars="200"/>
        <w:jc w:val="both"/>
        <w:textAlignment w:val="auto"/>
        <w:outlineLvl w:val="9"/>
        <w:rPr>
          <w:rFonts w:hint="default" w:ascii="Times New Roman" w:hAnsi="Times New Roman" w:eastAsia="黑体" w:cs="Times New Roman"/>
          <w:color w:val="FF0000"/>
          <w:kern w:val="2"/>
          <w:sz w:val="32"/>
          <w:szCs w:val="32"/>
          <w:lang w:val="en-US" w:eastAsia="zh-CN" w:bidi="ar"/>
        </w:rPr>
      </w:pPr>
      <w:r>
        <w:rPr>
          <w:rFonts w:hint="default" w:ascii="仿宋_GB2312" w:hAnsi="仿宋_GB2312" w:eastAsia="仿宋_GB2312" w:cs="仿宋_GB2312"/>
          <w:b/>
          <w:bCs/>
          <w:color w:val="000000"/>
          <w:kern w:val="2"/>
          <w:sz w:val="32"/>
          <w:szCs w:val="32"/>
          <w:lang w:val="en-US" w:eastAsia="zh-CN" w:bidi="ar"/>
        </w:rPr>
        <w:t xml:space="preserve">第四条  </w:t>
      </w:r>
      <w:r>
        <w:rPr>
          <w:rFonts w:hint="eastAsia" w:ascii="楷体_GB2312" w:hAnsi="楷体_GB2312" w:eastAsia="楷体_GB2312" w:cs="楷体_GB2312"/>
          <w:kern w:val="2"/>
          <w:sz w:val="32"/>
          <w:szCs w:val="32"/>
          <w:lang w:val="en-US" w:eastAsia="zh-CN" w:bidi="ar"/>
        </w:rPr>
        <w:t>【遵循原则】</w:t>
      </w:r>
      <w:r>
        <w:rPr>
          <w:rFonts w:hint="default" w:ascii="Times New Roman" w:hAnsi="Times New Roman" w:eastAsia="仿宋_GB2312" w:cs="Times New Roman"/>
          <w:color w:val="000000"/>
          <w:kern w:val="2"/>
          <w:sz w:val="32"/>
          <w:szCs w:val="32"/>
          <w:lang w:val="en-US" w:eastAsia="zh-CN" w:bidi="ar"/>
        </w:rPr>
        <w:t>科技行政管理部门行使行政处罚裁量权，应当遵循公开公正、程序合法、宽严相济、过罚相当的原则。</w:t>
      </w:r>
      <w:r>
        <w:rPr>
          <w:rStyle w:val="16"/>
          <w:rFonts w:hint="default" w:ascii="Times New Roman" w:hAnsi="Times New Roman" w:eastAsia="仿宋_GB2312" w:cs="Times New Roman"/>
          <w:color w:val="000000"/>
          <w:kern w:val="2"/>
          <w:sz w:val="32"/>
          <w:szCs w:val="32"/>
          <w:lang w:val="en-US" w:eastAsia="zh-CN" w:bidi="ar"/>
        </w:rPr>
        <w:footnoteReference w:id="1"/>
      </w:r>
      <w:r>
        <w:rPr>
          <w:rFonts w:hint="default" w:ascii="Times New Roman" w:hAnsi="Times New Roman" w:eastAsia="仿宋_GB2312" w:cs="Times New Roman"/>
          <w:color w:val="000000"/>
          <w:kern w:val="2"/>
          <w:sz w:val="32"/>
          <w:szCs w:val="32"/>
          <w:lang w:val="en-US" w:eastAsia="zh-CN" w:bidi="ar"/>
        </w:rPr>
        <w:t>对于违法主体、性质、情节相同或者相似的案件，适用的处罚种类和处罚幅度应当相同或者相近。</w:t>
      </w:r>
      <w:r>
        <w:rPr>
          <w:rStyle w:val="16"/>
          <w:rFonts w:hint="default" w:ascii="Times New Roman" w:hAnsi="Times New Roman" w:eastAsia="仿宋_GB2312" w:cs="Times New Roman"/>
          <w:color w:val="000000"/>
          <w:kern w:val="2"/>
          <w:sz w:val="32"/>
          <w:szCs w:val="32"/>
          <w:lang w:val="en-US" w:eastAsia="zh-CN" w:bidi="ar"/>
        </w:rPr>
        <w:footnoteReference w:id="2"/>
      </w:r>
    </w:p>
    <w:p w14:paraId="35B28618">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3" w:firstLineChars="200"/>
        <w:jc w:val="both"/>
        <w:textAlignment w:val="auto"/>
        <w:outlineLvl w:val="9"/>
        <w:rPr>
          <w:rFonts w:hint="default" w:ascii="Times New Roman" w:hAnsi="Times New Roman" w:eastAsia="仿宋_GB2312" w:cs="Times New Roman"/>
          <w:color w:val="000000"/>
          <w:kern w:val="2"/>
          <w:sz w:val="32"/>
          <w:szCs w:val="32"/>
          <w:vertAlign w:val="superscript"/>
          <w:lang w:val="en-US" w:eastAsia="zh-CN" w:bidi="ar"/>
        </w:rPr>
      </w:pPr>
      <w:r>
        <w:rPr>
          <w:rFonts w:hint="default" w:ascii="仿宋_GB2312" w:hAnsi="仿宋_GB2312" w:eastAsia="仿宋_GB2312" w:cs="仿宋_GB2312"/>
          <w:b/>
          <w:bCs/>
          <w:color w:val="000000"/>
          <w:kern w:val="2"/>
          <w:sz w:val="32"/>
          <w:szCs w:val="32"/>
          <w:lang w:val="en-US" w:eastAsia="zh-CN" w:bidi="ar"/>
        </w:rPr>
        <w:t>第</w:t>
      </w:r>
      <w:r>
        <w:rPr>
          <w:rFonts w:hint="eastAsia" w:ascii="仿宋_GB2312" w:hAnsi="仿宋_GB2312" w:eastAsia="仿宋_GB2312" w:cs="仿宋_GB2312"/>
          <w:b/>
          <w:bCs/>
          <w:color w:val="000000"/>
          <w:kern w:val="2"/>
          <w:sz w:val="32"/>
          <w:szCs w:val="32"/>
          <w:lang w:val="en-US" w:eastAsia="zh-CN" w:bidi="ar"/>
        </w:rPr>
        <w:t>五</w:t>
      </w:r>
      <w:r>
        <w:rPr>
          <w:rFonts w:hint="default" w:ascii="仿宋_GB2312" w:hAnsi="仿宋_GB2312" w:eastAsia="仿宋_GB2312" w:cs="仿宋_GB2312"/>
          <w:b/>
          <w:bCs/>
          <w:color w:val="000000"/>
          <w:kern w:val="2"/>
          <w:sz w:val="32"/>
          <w:szCs w:val="32"/>
          <w:lang w:val="en-US" w:eastAsia="zh-CN" w:bidi="ar"/>
        </w:rPr>
        <w:t xml:space="preserve">条  </w:t>
      </w:r>
      <w:r>
        <w:rPr>
          <w:rFonts w:hint="eastAsia" w:ascii="楷体_GB2312" w:hAnsi="楷体_GB2312" w:eastAsia="楷体_GB2312" w:cs="楷体_GB2312"/>
          <w:kern w:val="2"/>
          <w:sz w:val="32"/>
          <w:szCs w:val="32"/>
          <w:lang w:val="en-US" w:eastAsia="zh-CN" w:bidi="ar"/>
        </w:rPr>
        <w:t>【动态调整】</w:t>
      </w:r>
      <w:r>
        <w:rPr>
          <w:rFonts w:hint="default" w:ascii="Times New Roman" w:hAnsi="Times New Roman" w:eastAsia="仿宋_GB2312" w:cs="Times New Roman"/>
          <w:color w:val="000000"/>
          <w:kern w:val="2"/>
          <w:sz w:val="32"/>
          <w:szCs w:val="32"/>
          <w:lang w:val="en-US" w:eastAsia="zh-CN" w:bidi="ar"/>
        </w:rPr>
        <w:t>科技行政管理部门应当建立行政处罚裁量权基准动态调整机制，行政处罚裁量权基准所依据的法律、法规、规章作出修改，或者所依据的客观情况发生重大变化的，应当及时调整修订，并主动向社会公开。</w:t>
      </w:r>
      <w:r>
        <w:rPr>
          <w:rFonts w:hint="eastAsia" w:ascii="Times New Roman" w:hAnsi="Times New Roman" w:eastAsia="仿宋_GB2312" w:cs="Times New Roman"/>
          <w:color w:val="000000"/>
          <w:kern w:val="2"/>
          <w:sz w:val="32"/>
          <w:szCs w:val="32"/>
          <w:vertAlign w:val="superscript"/>
          <w:lang w:val="en-US" w:eastAsia="zh-CN" w:bidi="ar"/>
        </w:rPr>
        <w:t>1</w:t>
      </w:r>
    </w:p>
    <w:p w14:paraId="650B2C14">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3" w:firstLineChars="200"/>
        <w:jc w:val="both"/>
        <w:textAlignment w:val="auto"/>
        <w:outlineLvl w:val="9"/>
        <w:rPr>
          <w:rFonts w:hint="default" w:ascii="仿宋_GB2312" w:hAnsi="仿宋_GB2312" w:eastAsia="仿宋_GB2312" w:cs="仿宋_GB2312"/>
          <w:b/>
          <w:bCs/>
          <w:color w:val="000000"/>
          <w:kern w:val="2"/>
          <w:sz w:val="32"/>
          <w:szCs w:val="32"/>
          <w:lang w:val="en-US" w:eastAsia="zh-CN" w:bidi="ar"/>
        </w:rPr>
      </w:pPr>
    </w:p>
    <w:p w14:paraId="0A29E274">
      <w:pPr>
        <w:keepNext w:val="0"/>
        <w:keepLines w:val="0"/>
        <w:pageBreakBefore w:val="0"/>
        <w:widowControl w:val="0"/>
        <w:kinsoku/>
        <w:wordWrap/>
        <w:overflowPunct/>
        <w:topLinePunct/>
        <w:autoSpaceDE w:val="0"/>
        <w:autoSpaceDN w:val="0"/>
        <w:bidi w:val="0"/>
        <w:adjustRightInd w:val="0"/>
        <w:snapToGrid w:val="0"/>
        <w:spacing w:line="560" w:lineRule="exact"/>
        <w:jc w:val="center"/>
        <w:textAlignment w:val="baseline"/>
        <w:rPr>
          <w:rFonts w:hint="default" w:ascii="Times New Roman" w:hAnsi="Times New Roman" w:eastAsia="黑体" w:cs="Times New Roman"/>
          <w:snapToGrid w:val="0"/>
          <w:color w:val="000000"/>
          <w:kern w:val="0"/>
          <w:sz w:val="32"/>
          <w:szCs w:val="32"/>
          <w:lang w:val="en-US" w:eastAsia="zh-CN" w:bidi="ar-SA"/>
        </w:rPr>
      </w:pPr>
      <w:r>
        <w:rPr>
          <w:rFonts w:hint="default" w:ascii="Times New Roman" w:hAnsi="Times New Roman" w:eastAsia="黑体" w:cs="Times New Roman"/>
          <w:snapToGrid w:val="0"/>
          <w:color w:val="000000"/>
          <w:kern w:val="0"/>
          <w:sz w:val="32"/>
          <w:szCs w:val="32"/>
          <w:lang w:val="en-US" w:eastAsia="zh-CN" w:bidi="ar-SA"/>
        </w:rPr>
        <w:t>第二章  裁量规则</w:t>
      </w:r>
    </w:p>
    <w:p w14:paraId="2A0C3CD0">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3"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仿宋_GB2312" w:hAnsi="仿宋_GB2312" w:eastAsia="仿宋_GB2312" w:cs="仿宋_GB2312"/>
          <w:b/>
          <w:bCs/>
          <w:color w:val="000000"/>
          <w:kern w:val="2"/>
          <w:sz w:val="32"/>
          <w:szCs w:val="32"/>
          <w:lang w:val="en-US" w:eastAsia="zh-CN" w:bidi="ar"/>
        </w:rPr>
        <w:t>第</w:t>
      </w:r>
      <w:r>
        <w:rPr>
          <w:rFonts w:hint="eastAsia" w:ascii="仿宋_GB2312" w:hAnsi="仿宋_GB2312" w:eastAsia="仿宋_GB2312" w:cs="仿宋_GB2312"/>
          <w:b/>
          <w:bCs/>
          <w:color w:val="000000"/>
          <w:kern w:val="2"/>
          <w:sz w:val="32"/>
          <w:szCs w:val="32"/>
          <w:lang w:val="en-US" w:eastAsia="zh-CN" w:bidi="ar"/>
        </w:rPr>
        <w:t>六</w:t>
      </w:r>
      <w:r>
        <w:rPr>
          <w:rFonts w:hint="default" w:ascii="仿宋_GB2312" w:hAnsi="仿宋_GB2312" w:eastAsia="仿宋_GB2312" w:cs="仿宋_GB2312"/>
          <w:b/>
          <w:bCs/>
          <w:color w:val="000000"/>
          <w:kern w:val="2"/>
          <w:sz w:val="32"/>
          <w:szCs w:val="32"/>
          <w:lang w:val="en-US" w:eastAsia="zh-CN" w:bidi="ar"/>
        </w:rPr>
        <w:t xml:space="preserve">条  </w:t>
      </w:r>
      <w:r>
        <w:rPr>
          <w:rFonts w:hint="eastAsia" w:ascii="楷体_GB2312" w:hAnsi="楷体_GB2312" w:eastAsia="楷体_GB2312" w:cs="楷体_GB2312"/>
          <w:kern w:val="2"/>
          <w:sz w:val="32"/>
          <w:szCs w:val="32"/>
          <w:lang w:val="en-US" w:eastAsia="zh-CN" w:bidi="ar"/>
        </w:rPr>
        <w:t>【综合考虑情形】</w:t>
      </w:r>
      <w:r>
        <w:rPr>
          <w:rFonts w:hint="default" w:ascii="Times New Roman" w:hAnsi="Times New Roman" w:eastAsia="仿宋_GB2312" w:cs="Times New Roman"/>
          <w:color w:val="000000"/>
          <w:kern w:val="2"/>
          <w:sz w:val="32"/>
          <w:szCs w:val="32"/>
          <w:lang w:val="en-US" w:eastAsia="zh-CN" w:bidi="ar"/>
        </w:rPr>
        <w:t>科技行政管理部门在行使行政处罚裁量权时，应当综合考虑以下情形：</w:t>
      </w:r>
      <w:r>
        <w:rPr>
          <w:rStyle w:val="16"/>
          <w:rFonts w:hint="default" w:ascii="Times New Roman" w:hAnsi="Times New Roman" w:eastAsia="仿宋_GB2312" w:cs="Times New Roman"/>
          <w:color w:val="000000"/>
          <w:kern w:val="2"/>
          <w:sz w:val="32"/>
          <w:szCs w:val="32"/>
          <w:lang w:val="en-US" w:eastAsia="zh-CN" w:bidi="ar"/>
        </w:rPr>
        <w:footnoteReference w:id="3"/>
      </w:r>
    </w:p>
    <w:p w14:paraId="6A0479CA">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（一）当事人违法时的主观方面，包括故意、过失等；</w:t>
      </w:r>
    </w:p>
    <w:p w14:paraId="1850D29C">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（二）当事人是否纠正违法行为，包括主动消除或者减轻违法行为危害后果等；</w:t>
      </w:r>
    </w:p>
    <w:p w14:paraId="00150056">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（三）违法行为的性质情节，包括违法行为的严重程度、持续或者连续的时间、方法或者手段的恶劣程度、危害的对象等；</w:t>
      </w:r>
    </w:p>
    <w:p w14:paraId="2D9ECB32">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（四）违法行为造成的危害后果程度；</w:t>
      </w:r>
    </w:p>
    <w:p w14:paraId="076BD2DA">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right="0" w:firstLine="640" w:firstLineChars="200"/>
        <w:jc w:val="both"/>
        <w:textAlignment w:val="auto"/>
        <w:outlineLvl w:val="9"/>
        <w:rPr>
          <w:rFonts w:hint="default" w:ascii="Times New Roman" w:hAnsi="Times New Roman" w:eastAsia="黑体"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（五）法律、法规</w:t>
      </w:r>
      <w:r>
        <w:rPr>
          <w:rFonts w:hint="eastAsia" w:ascii="Times New Roman" w:hAnsi="Times New Roman" w:eastAsia="仿宋_GB2312" w:cs="Times New Roman"/>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规章规定的其他情形。</w:t>
      </w:r>
    </w:p>
    <w:p w14:paraId="69EE6909">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3"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仿宋_GB2312" w:hAnsi="仿宋_GB2312" w:eastAsia="仿宋_GB2312" w:cs="仿宋_GB2312"/>
          <w:b/>
          <w:bCs/>
          <w:color w:val="000000"/>
          <w:kern w:val="2"/>
          <w:sz w:val="32"/>
          <w:szCs w:val="32"/>
          <w:lang w:val="en-US" w:eastAsia="zh-CN" w:bidi="ar"/>
        </w:rPr>
        <w:t>第</w:t>
      </w:r>
      <w:r>
        <w:rPr>
          <w:rFonts w:hint="eastAsia" w:ascii="仿宋_GB2312" w:hAnsi="仿宋_GB2312" w:eastAsia="仿宋_GB2312" w:cs="仿宋_GB2312"/>
          <w:b/>
          <w:bCs/>
          <w:color w:val="000000"/>
          <w:kern w:val="2"/>
          <w:sz w:val="32"/>
          <w:szCs w:val="32"/>
          <w:lang w:val="en-US" w:eastAsia="zh-CN" w:bidi="ar"/>
        </w:rPr>
        <w:t>七</w:t>
      </w:r>
      <w:r>
        <w:rPr>
          <w:rFonts w:hint="default" w:ascii="仿宋_GB2312" w:hAnsi="仿宋_GB2312" w:eastAsia="仿宋_GB2312" w:cs="仿宋_GB2312"/>
          <w:b/>
          <w:bCs/>
          <w:color w:val="000000"/>
          <w:kern w:val="2"/>
          <w:sz w:val="32"/>
          <w:szCs w:val="32"/>
          <w:lang w:val="en-US" w:eastAsia="zh-CN" w:bidi="ar"/>
        </w:rPr>
        <w:t xml:space="preserve">条  </w:t>
      </w:r>
      <w:r>
        <w:rPr>
          <w:rFonts w:hint="eastAsia" w:ascii="楷体_GB2312" w:hAnsi="楷体_GB2312" w:eastAsia="楷体_GB2312" w:cs="楷体_GB2312"/>
          <w:kern w:val="2"/>
          <w:sz w:val="32"/>
          <w:szCs w:val="32"/>
          <w:lang w:val="en-US" w:eastAsia="zh-CN" w:bidi="ar"/>
        </w:rPr>
        <w:t>【不予或免予处罚】</w:t>
      </w:r>
      <w:r>
        <w:rPr>
          <w:rFonts w:hint="default" w:ascii="Times New Roman" w:hAnsi="Times New Roman" w:eastAsia="仿宋_GB2312" w:cs="Times New Roman"/>
          <w:color w:val="000000"/>
          <w:kern w:val="2"/>
          <w:sz w:val="32"/>
          <w:szCs w:val="32"/>
          <w:lang w:val="en-US" w:eastAsia="zh-CN" w:bidi="ar"/>
        </w:rPr>
        <w:t>当事人有下列情形之一的，应当不予或</w:t>
      </w:r>
      <w:r>
        <w:rPr>
          <w:rFonts w:hint="eastAsia" w:ascii="Times New Roman" w:hAnsi="Times New Roman" w:eastAsia="仿宋_GB2312" w:cs="Times New Roman"/>
          <w:color w:val="000000"/>
          <w:kern w:val="2"/>
          <w:sz w:val="32"/>
          <w:szCs w:val="32"/>
          <w:lang w:val="en-US" w:eastAsia="zh-CN" w:bidi="ar"/>
        </w:rPr>
        <w:t>者</w:t>
      </w:r>
      <w:r>
        <w:rPr>
          <w:rFonts w:hint="default" w:ascii="Times New Roman" w:hAnsi="Times New Roman" w:eastAsia="仿宋_GB2312" w:cs="Times New Roman"/>
          <w:color w:val="000000"/>
          <w:kern w:val="2"/>
          <w:sz w:val="32"/>
          <w:szCs w:val="32"/>
          <w:lang w:val="en-US" w:eastAsia="zh-CN" w:bidi="ar"/>
        </w:rPr>
        <w:t>免予行政处罚：</w:t>
      </w:r>
      <w:r>
        <w:rPr>
          <w:rFonts w:hint="eastAsia" w:ascii="Times New Roman" w:hAnsi="Times New Roman" w:eastAsia="仿宋_GB2312" w:cs="Times New Roman"/>
          <w:color w:val="000000"/>
          <w:kern w:val="2"/>
          <w:sz w:val="32"/>
          <w:szCs w:val="32"/>
          <w:vertAlign w:val="superscript"/>
          <w:lang w:val="en-US" w:eastAsia="zh-CN" w:bidi="ar"/>
        </w:rPr>
        <w:t>5</w:t>
      </w:r>
    </w:p>
    <w:p w14:paraId="1F740066">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（一）不满十四周岁的未成年人有违法行为的；</w:t>
      </w:r>
    </w:p>
    <w:p w14:paraId="083E8717">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（二）精神病人、智力残疾人在不能辨认或者不能控制自己行为时有违法行为的；</w:t>
      </w:r>
    </w:p>
    <w:p w14:paraId="1E4998DF">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（三）违法行为轻微并及时改正，没有造成危害后果的；</w:t>
      </w:r>
    </w:p>
    <w:p w14:paraId="259DA783">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（四）当事人有证据足以证明没有主观过错的，但法律、法规另有规定的除外；</w:t>
      </w:r>
    </w:p>
    <w:p w14:paraId="12BB02D5">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（五）法律、法规、规章规定</w:t>
      </w:r>
      <w:r>
        <w:rPr>
          <w:rFonts w:hint="eastAsia" w:ascii="Times New Roman" w:hAnsi="Times New Roman" w:eastAsia="仿宋_GB2312" w:cs="Times New Roman"/>
          <w:color w:val="000000"/>
          <w:kern w:val="2"/>
          <w:sz w:val="32"/>
          <w:szCs w:val="32"/>
          <w:lang w:val="en-US" w:eastAsia="zh-CN" w:bidi="ar"/>
        </w:rPr>
        <w:t>应当</w:t>
      </w:r>
      <w:r>
        <w:rPr>
          <w:rFonts w:hint="default" w:ascii="Times New Roman" w:hAnsi="Times New Roman" w:eastAsia="仿宋_GB2312" w:cs="Times New Roman"/>
          <w:color w:val="000000"/>
          <w:kern w:val="2"/>
          <w:sz w:val="32"/>
          <w:szCs w:val="32"/>
          <w:lang w:val="en-US" w:eastAsia="zh-CN" w:bidi="ar"/>
        </w:rPr>
        <w:t>不予或</w:t>
      </w:r>
      <w:r>
        <w:rPr>
          <w:rFonts w:hint="eastAsia" w:ascii="Times New Roman" w:hAnsi="Times New Roman" w:eastAsia="仿宋_GB2312" w:cs="Times New Roman"/>
          <w:color w:val="000000"/>
          <w:kern w:val="2"/>
          <w:sz w:val="32"/>
          <w:szCs w:val="32"/>
          <w:lang w:val="en-US" w:eastAsia="zh-CN" w:bidi="ar"/>
        </w:rPr>
        <w:t>者</w:t>
      </w:r>
      <w:r>
        <w:rPr>
          <w:rFonts w:hint="default" w:ascii="Times New Roman" w:hAnsi="Times New Roman" w:eastAsia="仿宋_GB2312" w:cs="Times New Roman"/>
          <w:color w:val="000000"/>
          <w:kern w:val="2"/>
          <w:sz w:val="32"/>
          <w:szCs w:val="32"/>
          <w:lang w:val="en-US" w:eastAsia="zh-CN" w:bidi="ar"/>
        </w:rPr>
        <w:t>免予行政处罚的其他情形。</w:t>
      </w:r>
    </w:p>
    <w:p w14:paraId="61A5206F">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3" w:firstLineChars="200"/>
        <w:jc w:val="both"/>
        <w:textAlignment w:val="auto"/>
        <w:outlineLvl w:val="9"/>
        <w:rPr>
          <w:rFonts w:hint="default" w:ascii="Times New Roman" w:hAnsi="Times New Roman" w:eastAsia="仿宋_GB2312" w:cs="Times New Roman"/>
          <w:color w:val="000000"/>
          <w:kern w:val="2"/>
          <w:sz w:val="32"/>
          <w:szCs w:val="32"/>
          <w:lang w:val="zh-CN" w:eastAsia="zh-CN" w:bidi="ar"/>
        </w:rPr>
      </w:pPr>
      <w:r>
        <w:rPr>
          <w:rFonts w:hint="default" w:ascii="仿宋_GB2312" w:hAnsi="仿宋_GB2312" w:eastAsia="仿宋_GB2312" w:cs="仿宋_GB2312"/>
          <w:b/>
          <w:bCs/>
          <w:color w:val="000000"/>
          <w:kern w:val="2"/>
          <w:sz w:val="32"/>
          <w:szCs w:val="32"/>
          <w:lang w:val="en-US" w:eastAsia="zh-CN" w:bidi="ar"/>
        </w:rPr>
        <w:t>第</w:t>
      </w:r>
      <w:r>
        <w:rPr>
          <w:rFonts w:hint="eastAsia" w:ascii="仿宋_GB2312" w:hAnsi="仿宋_GB2312" w:eastAsia="仿宋_GB2312" w:cs="仿宋_GB2312"/>
          <w:b/>
          <w:bCs/>
          <w:color w:val="000000"/>
          <w:kern w:val="2"/>
          <w:sz w:val="32"/>
          <w:szCs w:val="32"/>
          <w:lang w:val="en-US" w:eastAsia="zh-CN" w:bidi="ar"/>
        </w:rPr>
        <w:t>八</w:t>
      </w:r>
      <w:r>
        <w:rPr>
          <w:rFonts w:hint="default" w:ascii="仿宋_GB2312" w:hAnsi="仿宋_GB2312" w:eastAsia="仿宋_GB2312" w:cs="仿宋_GB2312"/>
          <w:b/>
          <w:bCs/>
          <w:color w:val="000000"/>
          <w:kern w:val="2"/>
          <w:sz w:val="32"/>
          <w:szCs w:val="32"/>
          <w:lang w:val="en-US" w:eastAsia="zh-CN" w:bidi="ar"/>
        </w:rPr>
        <w:t xml:space="preserve">条  </w:t>
      </w:r>
      <w:r>
        <w:rPr>
          <w:rFonts w:hint="eastAsia" w:ascii="楷体_GB2312" w:hAnsi="楷体_GB2312" w:eastAsia="楷体_GB2312" w:cs="楷体_GB2312"/>
          <w:kern w:val="2"/>
          <w:sz w:val="32"/>
          <w:szCs w:val="32"/>
          <w:lang w:val="en-US" w:eastAsia="zh-CN" w:bidi="ar"/>
        </w:rPr>
        <w:t>【不予或免予处罚】</w:t>
      </w:r>
      <w:r>
        <w:rPr>
          <w:rFonts w:hint="default" w:ascii="Times New Roman" w:hAnsi="Times New Roman" w:eastAsia="仿宋_GB2312" w:cs="Times New Roman"/>
          <w:color w:val="000000"/>
          <w:kern w:val="2"/>
          <w:sz w:val="32"/>
          <w:szCs w:val="32"/>
          <w:lang w:val="zh-CN" w:eastAsia="zh-CN" w:bidi="ar"/>
        </w:rPr>
        <w:t>初次违法且危害后果轻微并及时改正的，可以不予或</w:t>
      </w:r>
      <w:r>
        <w:rPr>
          <w:rFonts w:hint="eastAsia" w:ascii="Times New Roman" w:hAnsi="Times New Roman" w:eastAsia="仿宋_GB2312" w:cs="Times New Roman"/>
          <w:color w:val="000000"/>
          <w:kern w:val="2"/>
          <w:sz w:val="32"/>
          <w:szCs w:val="32"/>
          <w:lang w:val="zh-CN" w:eastAsia="zh-CN" w:bidi="ar"/>
        </w:rPr>
        <w:t>者</w:t>
      </w:r>
      <w:r>
        <w:rPr>
          <w:rFonts w:hint="default" w:ascii="Times New Roman" w:hAnsi="Times New Roman" w:eastAsia="仿宋_GB2312" w:cs="Times New Roman"/>
          <w:color w:val="000000"/>
          <w:kern w:val="2"/>
          <w:sz w:val="32"/>
          <w:szCs w:val="32"/>
          <w:lang w:val="zh-CN" w:eastAsia="zh-CN" w:bidi="ar"/>
        </w:rPr>
        <w:t>免予行政处罚。</w:t>
      </w:r>
    </w:p>
    <w:p w14:paraId="44997670">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黑体"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zh-CN" w:eastAsia="zh-CN" w:bidi="ar"/>
        </w:rPr>
        <w:t>对当事人的违法行为依法不予或</w:t>
      </w:r>
      <w:r>
        <w:rPr>
          <w:rFonts w:hint="eastAsia" w:ascii="Times New Roman" w:hAnsi="Times New Roman" w:eastAsia="仿宋_GB2312" w:cs="Times New Roman"/>
          <w:color w:val="000000"/>
          <w:kern w:val="2"/>
          <w:sz w:val="32"/>
          <w:szCs w:val="32"/>
          <w:lang w:val="zh-CN" w:eastAsia="zh-CN" w:bidi="ar"/>
        </w:rPr>
        <w:t>者</w:t>
      </w:r>
      <w:r>
        <w:rPr>
          <w:rFonts w:hint="default" w:ascii="Times New Roman" w:hAnsi="Times New Roman" w:eastAsia="仿宋_GB2312" w:cs="Times New Roman"/>
          <w:color w:val="000000"/>
          <w:kern w:val="2"/>
          <w:sz w:val="32"/>
          <w:szCs w:val="32"/>
          <w:lang w:val="zh-CN" w:eastAsia="zh-CN" w:bidi="ar"/>
        </w:rPr>
        <w:t>免予行政处罚的，应当对当事人进行教育。</w:t>
      </w:r>
      <w:r>
        <w:rPr>
          <w:rFonts w:hint="eastAsia" w:ascii="Times New Roman" w:hAnsi="Times New Roman" w:eastAsia="仿宋_GB2312" w:cs="Times New Roman"/>
          <w:color w:val="000000"/>
          <w:kern w:val="2"/>
          <w:sz w:val="32"/>
          <w:szCs w:val="32"/>
          <w:vertAlign w:val="superscript"/>
          <w:lang w:val="en-US" w:eastAsia="zh-CN" w:bidi="ar"/>
        </w:rPr>
        <w:t>5</w:t>
      </w:r>
    </w:p>
    <w:p w14:paraId="31A451BD">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3" w:firstLineChars="200"/>
        <w:jc w:val="both"/>
        <w:textAlignment w:val="auto"/>
        <w:outlineLvl w:val="9"/>
        <w:rPr>
          <w:rFonts w:hint="default" w:ascii="Times New Roman" w:hAnsi="Times New Roman" w:eastAsia="仿宋_GB2312" w:cs="Times New Roman"/>
          <w:color w:val="000000"/>
          <w:kern w:val="2"/>
          <w:sz w:val="32"/>
          <w:szCs w:val="32"/>
          <w:vertAlign w:val="superscript"/>
          <w:lang w:val="en-US" w:eastAsia="zh-CN" w:bidi="ar"/>
        </w:rPr>
      </w:pPr>
      <w:r>
        <w:rPr>
          <w:rFonts w:hint="default" w:ascii="仿宋_GB2312" w:hAnsi="仿宋_GB2312" w:eastAsia="仿宋_GB2312" w:cs="仿宋_GB2312"/>
          <w:b/>
          <w:bCs/>
          <w:color w:val="000000"/>
          <w:kern w:val="2"/>
          <w:sz w:val="32"/>
          <w:szCs w:val="32"/>
          <w:lang w:val="en-US" w:eastAsia="zh-CN" w:bidi="ar"/>
        </w:rPr>
        <w:t>第</w:t>
      </w:r>
      <w:r>
        <w:rPr>
          <w:rFonts w:hint="eastAsia" w:ascii="仿宋_GB2312" w:hAnsi="仿宋_GB2312" w:eastAsia="仿宋_GB2312" w:cs="仿宋_GB2312"/>
          <w:b/>
          <w:bCs/>
          <w:color w:val="000000"/>
          <w:kern w:val="2"/>
          <w:sz w:val="32"/>
          <w:szCs w:val="32"/>
          <w:lang w:val="en-US" w:eastAsia="zh-CN" w:bidi="ar"/>
        </w:rPr>
        <w:t>九</w:t>
      </w:r>
      <w:r>
        <w:rPr>
          <w:rFonts w:hint="default" w:ascii="仿宋_GB2312" w:hAnsi="仿宋_GB2312" w:eastAsia="仿宋_GB2312" w:cs="仿宋_GB2312"/>
          <w:b/>
          <w:bCs/>
          <w:color w:val="000000"/>
          <w:kern w:val="2"/>
          <w:sz w:val="32"/>
          <w:szCs w:val="32"/>
          <w:lang w:val="en-US" w:eastAsia="zh-CN" w:bidi="ar"/>
        </w:rPr>
        <w:t xml:space="preserve">条  </w:t>
      </w:r>
      <w:r>
        <w:rPr>
          <w:rFonts w:hint="eastAsia" w:ascii="楷体_GB2312" w:hAnsi="楷体_GB2312" w:eastAsia="楷体_GB2312" w:cs="楷体_GB2312"/>
          <w:kern w:val="2"/>
          <w:sz w:val="32"/>
          <w:szCs w:val="32"/>
          <w:lang w:val="en-US" w:eastAsia="zh-CN" w:bidi="ar"/>
        </w:rPr>
        <w:t>【从轻或减轻处罚】</w:t>
      </w:r>
      <w:r>
        <w:rPr>
          <w:rFonts w:hint="default" w:ascii="Times New Roman" w:hAnsi="Times New Roman" w:eastAsia="仿宋_GB2312" w:cs="Times New Roman"/>
          <w:color w:val="000000"/>
          <w:kern w:val="2"/>
          <w:sz w:val="32"/>
          <w:szCs w:val="32"/>
          <w:lang w:val="en-US" w:eastAsia="zh-CN" w:bidi="ar"/>
        </w:rPr>
        <w:t>当事人有下列情形之一的，应当从轻或者减轻行政处罚：</w:t>
      </w:r>
      <w:r>
        <w:rPr>
          <w:rFonts w:hint="eastAsia" w:ascii="Times New Roman" w:hAnsi="Times New Roman" w:eastAsia="仿宋_GB2312" w:cs="Times New Roman"/>
          <w:color w:val="000000"/>
          <w:kern w:val="2"/>
          <w:sz w:val="32"/>
          <w:szCs w:val="32"/>
          <w:vertAlign w:val="superscript"/>
          <w:lang w:val="en-US" w:eastAsia="zh-CN" w:bidi="ar"/>
        </w:rPr>
        <w:t>5</w:t>
      </w:r>
    </w:p>
    <w:p w14:paraId="0C7EAEE2">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（一）已满十四周岁不满十八周岁的未成年人有违法行为的；</w:t>
      </w:r>
    </w:p>
    <w:p w14:paraId="2336523E">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（二）主动消除或者减轻违法行为危害后果的；</w:t>
      </w:r>
    </w:p>
    <w:p w14:paraId="18BF39F2">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（三）受他人胁迫或者诱骗实施违法行为的；</w:t>
      </w:r>
    </w:p>
    <w:p w14:paraId="71BCDA64">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（四）主动供述行政机关尚未掌握的违法行为的；</w:t>
      </w:r>
    </w:p>
    <w:p w14:paraId="5072DE31">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（五）配合行政机关查处违法行为有立功表现的；</w:t>
      </w:r>
    </w:p>
    <w:p w14:paraId="243D9A32">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（六）法律、法规、规章规定应当从轻或者减轻行政处罚的其他情形。</w:t>
      </w:r>
    </w:p>
    <w:p w14:paraId="6CA19B95">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3" w:firstLineChars="200"/>
        <w:jc w:val="both"/>
        <w:textAlignment w:val="auto"/>
        <w:outlineLvl w:val="9"/>
        <w:rPr>
          <w:rFonts w:hint="default" w:ascii="Times New Roman" w:hAnsi="Times New Roman" w:eastAsia="仿宋_GB2312" w:cs="Times New Roman"/>
          <w:color w:val="000000"/>
          <w:kern w:val="2"/>
          <w:sz w:val="32"/>
          <w:szCs w:val="32"/>
          <w:highlight w:val="none"/>
          <w:lang w:val="en-US" w:eastAsia="zh-CN" w:bidi="ar"/>
        </w:rPr>
      </w:pPr>
      <w:r>
        <w:rPr>
          <w:rFonts w:hint="default" w:ascii="仿宋_GB2312" w:hAnsi="仿宋_GB2312" w:eastAsia="仿宋_GB2312" w:cs="仿宋_GB2312"/>
          <w:b/>
          <w:bCs/>
          <w:color w:val="000000"/>
          <w:kern w:val="2"/>
          <w:sz w:val="32"/>
          <w:szCs w:val="32"/>
          <w:lang w:val="en-US" w:eastAsia="zh-CN" w:bidi="ar"/>
        </w:rPr>
        <w:t>第</w:t>
      </w:r>
      <w:r>
        <w:rPr>
          <w:rFonts w:hint="eastAsia" w:ascii="仿宋_GB2312" w:hAnsi="仿宋_GB2312" w:eastAsia="仿宋_GB2312" w:cs="仿宋_GB2312"/>
          <w:b/>
          <w:bCs/>
          <w:color w:val="000000"/>
          <w:kern w:val="2"/>
          <w:sz w:val="32"/>
          <w:szCs w:val="32"/>
          <w:lang w:val="en-US" w:eastAsia="zh-CN" w:bidi="ar"/>
        </w:rPr>
        <w:t>十</w:t>
      </w:r>
      <w:r>
        <w:rPr>
          <w:rFonts w:hint="default" w:ascii="仿宋_GB2312" w:hAnsi="仿宋_GB2312" w:eastAsia="仿宋_GB2312" w:cs="仿宋_GB2312"/>
          <w:b/>
          <w:bCs/>
          <w:color w:val="000000"/>
          <w:kern w:val="2"/>
          <w:sz w:val="32"/>
          <w:szCs w:val="32"/>
          <w:lang w:val="en-US" w:eastAsia="zh-CN" w:bidi="ar"/>
        </w:rPr>
        <w:t xml:space="preserve">条  </w:t>
      </w:r>
      <w:r>
        <w:rPr>
          <w:rFonts w:hint="eastAsia" w:ascii="楷体_GB2312" w:hAnsi="楷体_GB2312" w:eastAsia="楷体_GB2312" w:cs="楷体_GB2312"/>
          <w:kern w:val="2"/>
          <w:sz w:val="32"/>
          <w:szCs w:val="32"/>
          <w:lang w:val="en-US" w:eastAsia="zh-CN" w:bidi="ar"/>
        </w:rPr>
        <w:t>【从轻或减轻处罚】</w:t>
      </w:r>
      <w:r>
        <w:rPr>
          <w:rFonts w:hint="default" w:ascii="Times New Roman" w:hAnsi="Times New Roman" w:eastAsia="仿宋_GB2312" w:cs="Times New Roman"/>
          <w:color w:val="000000"/>
          <w:kern w:val="2"/>
          <w:sz w:val="32"/>
          <w:szCs w:val="32"/>
          <w:highlight w:val="none"/>
          <w:lang w:val="en-US" w:eastAsia="zh-CN" w:bidi="ar"/>
        </w:rPr>
        <w:t>有下列情形之一的，可以从轻或者减轻行政处罚：</w:t>
      </w:r>
      <w:r>
        <w:rPr>
          <w:rFonts w:hint="eastAsia" w:ascii="Times New Roman" w:hAnsi="Times New Roman" w:eastAsia="仿宋_GB2312" w:cs="Times New Roman"/>
          <w:color w:val="000000"/>
          <w:kern w:val="2"/>
          <w:sz w:val="32"/>
          <w:szCs w:val="32"/>
          <w:highlight w:val="none"/>
          <w:vertAlign w:val="superscript"/>
          <w:lang w:val="en-US" w:eastAsia="zh-CN" w:bidi="ar"/>
        </w:rPr>
        <w:t>3、5</w:t>
      </w:r>
    </w:p>
    <w:p w14:paraId="7DA28B50">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highlight w:val="none"/>
          <w:lang w:val="en-US" w:eastAsia="zh-CN" w:bidi="ar"/>
        </w:rPr>
      </w:pPr>
      <w:r>
        <w:rPr>
          <w:rFonts w:hint="default" w:ascii="Times New Roman" w:hAnsi="Times New Roman" w:eastAsia="仿宋_GB2312" w:cs="Times New Roman"/>
          <w:color w:val="000000"/>
          <w:kern w:val="2"/>
          <w:sz w:val="32"/>
          <w:szCs w:val="32"/>
          <w:highlight w:val="none"/>
          <w:lang w:val="en-US" w:eastAsia="zh-CN" w:bidi="ar"/>
        </w:rPr>
        <w:t>（一）尚未完全丧失辨认或者控制自己行为能力的精神病人、智力残疾人有违法行为的；</w:t>
      </w:r>
    </w:p>
    <w:p w14:paraId="60FDCB1A">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outlineLvl w:val="9"/>
        <w:rPr>
          <w:rFonts w:hint="default" w:ascii="Times New Roman" w:hAnsi="Times New Roman" w:cs="Times New Roman"/>
          <w:lang w:val="en-US" w:eastAsia="zh-CN"/>
        </w:rPr>
      </w:pPr>
      <w:r>
        <w:rPr>
          <w:rFonts w:hint="default" w:ascii="Times New Roman" w:hAnsi="Times New Roman" w:eastAsia="仿宋_GB2312" w:cs="Times New Roman"/>
          <w:color w:val="000000"/>
          <w:kern w:val="2"/>
          <w:sz w:val="32"/>
          <w:szCs w:val="32"/>
          <w:lang w:val="en-US" w:eastAsia="zh-CN" w:bidi="ar"/>
        </w:rPr>
        <w:t>（二）法律、法规、规章规定可以从轻或者减轻行政处罚的其他情形。</w:t>
      </w:r>
    </w:p>
    <w:p w14:paraId="4B5E8DF9">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3" w:firstLineChars="200"/>
        <w:jc w:val="both"/>
        <w:textAlignment w:val="auto"/>
        <w:outlineLvl w:val="9"/>
        <w:rPr>
          <w:rFonts w:hint="default" w:ascii="Times New Roman" w:hAnsi="Times New Roman" w:eastAsia="仿宋_GB2312" w:cs="Times New Roman"/>
          <w:color w:val="000000"/>
          <w:kern w:val="2"/>
          <w:sz w:val="32"/>
          <w:szCs w:val="32"/>
          <w:vertAlign w:val="superscript"/>
          <w:lang w:val="en-US" w:eastAsia="zh-CN" w:bidi="ar"/>
        </w:rPr>
      </w:pPr>
      <w:r>
        <w:rPr>
          <w:rFonts w:hint="default" w:ascii="仿宋_GB2312" w:hAnsi="仿宋_GB2312" w:eastAsia="仿宋_GB2312" w:cs="仿宋_GB2312"/>
          <w:b/>
          <w:bCs/>
          <w:color w:val="000000"/>
          <w:kern w:val="2"/>
          <w:sz w:val="32"/>
          <w:szCs w:val="32"/>
          <w:lang w:val="en-US" w:eastAsia="zh-CN" w:bidi="ar"/>
        </w:rPr>
        <w:t>第十</w:t>
      </w:r>
      <w:r>
        <w:rPr>
          <w:rFonts w:hint="eastAsia" w:ascii="仿宋_GB2312" w:hAnsi="仿宋_GB2312" w:eastAsia="仿宋_GB2312" w:cs="仿宋_GB2312"/>
          <w:b/>
          <w:bCs/>
          <w:color w:val="000000"/>
          <w:kern w:val="2"/>
          <w:sz w:val="32"/>
          <w:szCs w:val="32"/>
          <w:lang w:val="en-US" w:eastAsia="zh-CN" w:bidi="ar"/>
        </w:rPr>
        <w:t>一</w:t>
      </w:r>
      <w:r>
        <w:rPr>
          <w:rFonts w:hint="default" w:ascii="仿宋_GB2312" w:hAnsi="仿宋_GB2312" w:eastAsia="仿宋_GB2312" w:cs="仿宋_GB2312"/>
          <w:b/>
          <w:bCs/>
          <w:color w:val="000000"/>
          <w:kern w:val="2"/>
          <w:sz w:val="32"/>
          <w:szCs w:val="32"/>
          <w:lang w:val="en-US" w:eastAsia="zh-CN" w:bidi="ar"/>
        </w:rPr>
        <w:t xml:space="preserve">条  </w:t>
      </w:r>
      <w:r>
        <w:rPr>
          <w:rFonts w:hint="eastAsia" w:ascii="楷体_GB2312" w:hAnsi="楷体_GB2312" w:eastAsia="楷体_GB2312" w:cs="楷体_GB2312"/>
          <w:kern w:val="2"/>
          <w:sz w:val="32"/>
          <w:szCs w:val="32"/>
          <w:lang w:val="en-US" w:eastAsia="zh-CN" w:bidi="ar"/>
        </w:rPr>
        <w:t>【从重处罚】</w:t>
      </w:r>
      <w:r>
        <w:rPr>
          <w:rFonts w:hint="default" w:ascii="Times New Roman" w:hAnsi="Times New Roman" w:eastAsia="仿宋_GB2312" w:cs="Times New Roman"/>
          <w:color w:val="000000"/>
          <w:kern w:val="2"/>
          <w:sz w:val="32"/>
          <w:szCs w:val="32"/>
          <w:lang w:val="en-US" w:eastAsia="zh-CN" w:bidi="ar"/>
        </w:rPr>
        <w:t>当事人有下列情形之一的，应当从重处罚：</w:t>
      </w:r>
      <w:r>
        <w:rPr>
          <w:rFonts w:hint="eastAsia" w:ascii="Times New Roman" w:hAnsi="Times New Roman" w:eastAsia="仿宋_GB2312" w:cs="Times New Roman"/>
          <w:color w:val="000000"/>
          <w:kern w:val="2"/>
          <w:sz w:val="32"/>
          <w:szCs w:val="32"/>
          <w:vertAlign w:val="superscript"/>
          <w:lang w:val="en-US" w:eastAsia="zh-CN" w:bidi="ar"/>
        </w:rPr>
        <w:t>4、</w:t>
      </w:r>
      <w:r>
        <w:rPr>
          <w:rStyle w:val="16"/>
          <w:rFonts w:hint="eastAsia" w:ascii="Times New Roman" w:hAnsi="Times New Roman" w:eastAsia="仿宋_GB2312" w:cs="Times New Roman"/>
          <w:color w:val="000000"/>
          <w:kern w:val="2"/>
          <w:sz w:val="32"/>
          <w:szCs w:val="32"/>
          <w:lang w:val="en-US" w:eastAsia="zh-CN" w:bidi="ar"/>
        </w:rPr>
        <w:footnoteReference w:id="4"/>
      </w:r>
    </w:p>
    <w:p w14:paraId="73F6480E">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（一）危害国家安全、公共安全的；</w:t>
      </w:r>
    </w:p>
    <w:p w14:paraId="24EA9892">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（二）违法情节恶劣，造成严重危害后果的；</w:t>
      </w:r>
    </w:p>
    <w:p w14:paraId="38910D97">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（三）经责令停止、纠正违法行为后，仍继续实施违法行为的；</w:t>
      </w:r>
    </w:p>
    <w:p w14:paraId="75A61ECA">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（四）拒绝或者阻挠执法人员依法查处违法行为的；</w:t>
      </w:r>
    </w:p>
    <w:p w14:paraId="76333F55">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（五）销毁或者转移违法行为证据的；</w:t>
      </w:r>
    </w:p>
    <w:p w14:paraId="34EB7C51">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（六）共同违法行为中起主要作用或者教唆、胁迫、诱骗他人实施违法行为的；</w:t>
      </w:r>
    </w:p>
    <w:p w14:paraId="251FD049">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right="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（七）对举报人、证人、执法人员打击报复的；</w:t>
      </w:r>
    </w:p>
    <w:p w14:paraId="1E166C12">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（八）多次实施同一违法行为且已受过行政处罚的；</w:t>
      </w:r>
    </w:p>
    <w:p w14:paraId="2143E9B4">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（九）侵害残疾人、老年人、妇女、儿童等受特殊保护群体利益的；</w:t>
      </w:r>
    </w:p>
    <w:p w14:paraId="1CCD52E1">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（十）法律、法规、规章规定</w:t>
      </w:r>
      <w:r>
        <w:rPr>
          <w:rFonts w:hint="eastAsia" w:ascii="Times New Roman" w:hAnsi="Times New Roman" w:eastAsia="仿宋_GB2312" w:cs="Times New Roman"/>
          <w:color w:val="000000"/>
          <w:kern w:val="2"/>
          <w:sz w:val="32"/>
          <w:szCs w:val="32"/>
          <w:lang w:val="en-US" w:eastAsia="zh-CN" w:bidi="ar"/>
        </w:rPr>
        <w:t>应当</w:t>
      </w:r>
      <w:r>
        <w:rPr>
          <w:rFonts w:hint="default" w:ascii="Times New Roman" w:hAnsi="Times New Roman" w:eastAsia="仿宋_GB2312" w:cs="Times New Roman"/>
          <w:color w:val="000000"/>
          <w:kern w:val="2"/>
          <w:sz w:val="32"/>
          <w:szCs w:val="32"/>
          <w:lang w:val="en-US" w:eastAsia="zh-CN" w:bidi="ar"/>
        </w:rPr>
        <w:t>从重处罚的其他情形。</w:t>
      </w:r>
    </w:p>
    <w:p w14:paraId="2D6E728F">
      <w:pPr>
        <w:pStyle w:val="6"/>
        <w:spacing w:after="0" w:line="560" w:lineRule="exact"/>
        <w:ind w:left="0" w:leftChars="0" w:firstLine="643" w:firstLineChars="200"/>
        <w:rPr>
          <w:rFonts w:hint="default" w:ascii="Times New Roman" w:hAnsi="Times New Roman" w:eastAsia="仿宋_GB2312" w:cs="Times New Roman"/>
          <w:color w:val="000000"/>
          <w:kern w:val="2"/>
          <w:sz w:val="32"/>
          <w:szCs w:val="32"/>
          <w:lang w:val="en-US" w:eastAsia="zh-CN" w:bidi="ar"/>
        </w:rPr>
      </w:pPr>
      <w:r>
        <w:rPr>
          <w:rFonts w:hint="default" w:ascii="仿宋_GB2312" w:hAnsi="仿宋_GB2312" w:eastAsia="仿宋_GB2312" w:cs="仿宋_GB2312"/>
          <w:b/>
          <w:bCs/>
          <w:color w:val="000000"/>
          <w:kern w:val="2"/>
          <w:sz w:val="32"/>
          <w:szCs w:val="32"/>
          <w:lang w:val="en-US" w:eastAsia="zh-CN" w:bidi="ar"/>
        </w:rPr>
        <w:t>第十</w:t>
      </w:r>
      <w:r>
        <w:rPr>
          <w:rFonts w:hint="eastAsia" w:ascii="仿宋_GB2312" w:hAnsi="仿宋_GB2312" w:eastAsia="仿宋_GB2312" w:cs="仿宋_GB2312"/>
          <w:b/>
          <w:bCs/>
          <w:color w:val="000000"/>
          <w:kern w:val="2"/>
          <w:sz w:val="32"/>
          <w:szCs w:val="32"/>
          <w:lang w:val="en-US" w:eastAsia="zh-CN" w:bidi="ar"/>
        </w:rPr>
        <w:t>二</w:t>
      </w:r>
      <w:r>
        <w:rPr>
          <w:rFonts w:hint="default" w:ascii="仿宋_GB2312" w:hAnsi="仿宋_GB2312" w:eastAsia="仿宋_GB2312" w:cs="仿宋_GB2312"/>
          <w:b/>
          <w:bCs/>
          <w:color w:val="000000"/>
          <w:kern w:val="2"/>
          <w:sz w:val="32"/>
          <w:szCs w:val="32"/>
          <w:lang w:val="en-US" w:eastAsia="zh-CN" w:bidi="ar"/>
        </w:rPr>
        <w:t xml:space="preserve">条  </w:t>
      </w:r>
      <w:r>
        <w:rPr>
          <w:rFonts w:hint="eastAsia" w:ascii="楷体_GB2312" w:hAnsi="楷体_GB2312" w:eastAsia="楷体_GB2312" w:cs="楷体_GB2312"/>
          <w:kern w:val="2"/>
          <w:sz w:val="32"/>
          <w:szCs w:val="32"/>
          <w:lang w:val="en-US" w:eastAsia="zh-CN" w:bidi="ar"/>
        </w:rPr>
        <w:t>【收集证据】</w:t>
      </w:r>
      <w:r>
        <w:rPr>
          <w:rFonts w:hint="default" w:ascii="Times New Roman" w:hAnsi="Times New Roman" w:eastAsia="仿宋_GB2312" w:cs="Times New Roman"/>
          <w:color w:val="000000"/>
          <w:kern w:val="2"/>
          <w:sz w:val="32"/>
          <w:szCs w:val="32"/>
          <w:lang w:val="en-US" w:eastAsia="zh-CN" w:bidi="ar"/>
        </w:rPr>
        <w:t>对当事人不予处罚、</w:t>
      </w:r>
      <w:r>
        <w:rPr>
          <w:rFonts w:hint="eastAsia" w:ascii="Times New Roman" w:hAnsi="Times New Roman" w:eastAsia="仿宋_GB2312" w:cs="Times New Roman"/>
          <w:color w:val="000000"/>
          <w:kern w:val="2"/>
          <w:sz w:val="32"/>
          <w:szCs w:val="32"/>
          <w:lang w:val="en-US" w:eastAsia="zh-CN" w:bidi="ar"/>
        </w:rPr>
        <w:t>免予处罚、</w:t>
      </w:r>
      <w:r>
        <w:rPr>
          <w:rFonts w:hint="default" w:ascii="Times New Roman" w:hAnsi="Times New Roman" w:eastAsia="仿宋_GB2312" w:cs="Times New Roman"/>
          <w:color w:val="000000"/>
          <w:kern w:val="2"/>
          <w:sz w:val="32"/>
          <w:szCs w:val="32"/>
          <w:lang w:val="en-US" w:eastAsia="zh-CN" w:bidi="ar"/>
        </w:rPr>
        <w:t>从轻处罚、减轻处罚、从重处罚的，必须收集和提供相应的证据材料并说明理由。</w:t>
      </w:r>
      <w:r>
        <w:rPr>
          <w:rStyle w:val="16"/>
          <w:rFonts w:hint="default" w:ascii="Times New Roman" w:hAnsi="Times New Roman" w:eastAsia="仿宋_GB2312" w:cs="Times New Roman"/>
          <w:color w:val="000000"/>
          <w:kern w:val="2"/>
          <w:sz w:val="32"/>
          <w:szCs w:val="32"/>
          <w:lang w:val="en-US" w:eastAsia="zh-CN" w:bidi="ar"/>
        </w:rPr>
        <w:footnoteReference w:id="5"/>
      </w:r>
    </w:p>
    <w:p w14:paraId="7FE013EA">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3" w:firstLineChars="200"/>
        <w:jc w:val="both"/>
        <w:textAlignment w:val="auto"/>
        <w:outlineLvl w:val="9"/>
        <w:rPr>
          <w:rFonts w:hint="default" w:ascii="Times New Roman" w:hAnsi="Times New Roman" w:eastAsia="黑体" w:cs="Times New Roman"/>
          <w:color w:val="000000"/>
          <w:kern w:val="2"/>
          <w:sz w:val="32"/>
          <w:szCs w:val="32"/>
          <w:lang w:val="en-US" w:eastAsia="zh-CN" w:bidi="ar"/>
        </w:rPr>
      </w:pPr>
      <w:r>
        <w:rPr>
          <w:rFonts w:hint="default" w:ascii="仿宋_GB2312" w:hAnsi="仿宋_GB2312" w:eastAsia="仿宋_GB2312" w:cs="仿宋_GB2312"/>
          <w:b/>
          <w:bCs/>
          <w:color w:val="000000"/>
          <w:kern w:val="2"/>
          <w:sz w:val="32"/>
          <w:szCs w:val="32"/>
          <w:lang w:val="en-US" w:eastAsia="zh-CN" w:bidi="ar"/>
        </w:rPr>
        <w:t>第</w:t>
      </w:r>
      <w:r>
        <w:rPr>
          <w:rFonts w:hint="eastAsia" w:ascii="仿宋_GB2312" w:hAnsi="仿宋_GB2312" w:eastAsia="仿宋_GB2312" w:cs="仿宋_GB2312"/>
          <w:b/>
          <w:bCs/>
          <w:color w:val="000000"/>
          <w:kern w:val="2"/>
          <w:sz w:val="32"/>
          <w:szCs w:val="32"/>
          <w:lang w:val="en-US" w:eastAsia="zh-CN" w:bidi="ar"/>
        </w:rPr>
        <w:t>十三</w:t>
      </w:r>
      <w:r>
        <w:rPr>
          <w:rFonts w:hint="default" w:ascii="仿宋_GB2312" w:hAnsi="仿宋_GB2312" w:eastAsia="仿宋_GB2312" w:cs="仿宋_GB2312"/>
          <w:b/>
          <w:bCs/>
          <w:color w:val="000000"/>
          <w:kern w:val="2"/>
          <w:sz w:val="32"/>
          <w:szCs w:val="32"/>
          <w:lang w:val="en-US" w:eastAsia="zh-CN" w:bidi="ar"/>
        </w:rPr>
        <w:t xml:space="preserve">条  </w:t>
      </w:r>
      <w:r>
        <w:rPr>
          <w:rFonts w:hint="eastAsia" w:ascii="楷体_GB2312" w:hAnsi="楷体_GB2312" w:eastAsia="楷体_GB2312" w:cs="楷体_GB2312"/>
          <w:kern w:val="2"/>
          <w:sz w:val="32"/>
          <w:szCs w:val="32"/>
          <w:lang w:val="en-US" w:eastAsia="zh-CN" w:bidi="ar"/>
        </w:rPr>
        <w:t>【涉嫌犯罪】</w:t>
      </w:r>
      <w:r>
        <w:rPr>
          <w:rFonts w:hint="default" w:ascii="Times New Roman" w:hAnsi="Times New Roman" w:eastAsia="仿宋_GB2312" w:cs="Times New Roman"/>
          <w:color w:val="000000"/>
          <w:kern w:val="2"/>
          <w:sz w:val="32"/>
          <w:szCs w:val="32"/>
          <w:lang w:val="en-US" w:eastAsia="zh-CN" w:bidi="ar"/>
        </w:rPr>
        <w:t>违法行为涉嫌构成犯罪的，应当依法移送司法机关，追究相应刑事责任。</w:t>
      </w:r>
      <w:r>
        <w:rPr>
          <w:rStyle w:val="16"/>
          <w:rFonts w:hint="default" w:ascii="Times New Roman" w:hAnsi="Times New Roman" w:eastAsia="仿宋_GB2312" w:cs="Times New Roman"/>
          <w:color w:val="000000"/>
          <w:kern w:val="2"/>
          <w:sz w:val="32"/>
          <w:szCs w:val="32"/>
          <w:lang w:val="en-US" w:eastAsia="zh-CN" w:bidi="ar"/>
        </w:rPr>
        <w:footnoteReference w:id="6"/>
      </w:r>
    </w:p>
    <w:p w14:paraId="757D8C9A">
      <w:pPr>
        <w:pStyle w:val="6"/>
        <w:spacing w:after="0" w:line="560" w:lineRule="exact"/>
        <w:ind w:left="0" w:leftChars="0" w:firstLine="640" w:firstLineChars="200"/>
        <w:rPr>
          <w:rFonts w:hint="default" w:ascii="Times New Roman" w:hAnsi="Times New Roman" w:eastAsia="仿宋_GB2312" w:cs="Times New Roman"/>
          <w:color w:val="000000"/>
          <w:kern w:val="2"/>
          <w:sz w:val="32"/>
          <w:szCs w:val="32"/>
          <w:lang w:val="en-US" w:eastAsia="zh-CN" w:bidi="ar"/>
        </w:rPr>
      </w:pPr>
    </w:p>
    <w:p w14:paraId="7C9B625E">
      <w:pPr>
        <w:keepNext w:val="0"/>
        <w:keepLines w:val="0"/>
        <w:pageBreakBefore w:val="0"/>
        <w:widowControl w:val="0"/>
        <w:kinsoku/>
        <w:wordWrap/>
        <w:overflowPunct/>
        <w:topLinePunct/>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黑体" w:cs="Times New Roman"/>
          <w:snapToGrid w:val="0"/>
          <w:color w:val="000000"/>
          <w:kern w:val="0"/>
          <w:sz w:val="32"/>
          <w:szCs w:val="32"/>
          <w:highlight w:val="none"/>
          <w:lang w:val="en-US" w:eastAsia="zh-CN" w:bidi="ar-SA"/>
        </w:rPr>
        <w:t>第三章  裁量程序</w:t>
      </w:r>
    </w:p>
    <w:p w14:paraId="2A80BCE3">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3"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仿宋_GB2312" w:hAnsi="仿宋_GB2312" w:eastAsia="仿宋_GB2312" w:cs="仿宋_GB2312"/>
          <w:b/>
          <w:bCs/>
          <w:color w:val="000000"/>
          <w:kern w:val="2"/>
          <w:sz w:val="32"/>
          <w:szCs w:val="32"/>
          <w:lang w:val="en-US" w:eastAsia="zh-CN" w:bidi="ar"/>
        </w:rPr>
        <w:t>第十</w:t>
      </w:r>
      <w:r>
        <w:rPr>
          <w:rFonts w:hint="eastAsia" w:ascii="仿宋_GB2312" w:hAnsi="仿宋_GB2312" w:eastAsia="仿宋_GB2312" w:cs="仿宋_GB2312"/>
          <w:b/>
          <w:bCs/>
          <w:color w:val="000000"/>
          <w:kern w:val="2"/>
          <w:sz w:val="32"/>
          <w:szCs w:val="32"/>
          <w:lang w:val="en-US" w:eastAsia="zh-CN" w:bidi="ar"/>
        </w:rPr>
        <w:t>四</w:t>
      </w:r>
      <w:r>
        <w:rPr>
          <w:rFonts w:hint="default" w:ascii="仿宋_GB2312" w:hAnsi="仿宋_GB2312" w:eastAsia="仿宋_GB2312" w:cs="仿宋_GB2312"/>
          <w:b/>
          <w:bCs/>
          <w:color w:val="000000"/>
          <w:kern w:val="2"/>
          <w:sz w:val="32"/>
          <w:szCs w:val="32"/>
          <w:lang w:val="en-US" w:eastAsia="zh-CN" w:bidi="ar"/>
        </w:rPr>
        <w:t xml:space="preserve">条  </w:t>
      </w:r>
      <w:r>
        <w:rPr>
          <w:rFonts w:hint="eastAsia" w:ascii="楷体_GB2312" w:hAnsi="楷体_GB2312" w:eastAsia="楷体_GB2312" w:cs="楷体_GB2312"/>
          <w:kern w:val="2"/>
          <w:sz w:val="32"/>
          <w:szCs w:val="32"/>
          <w:lang w:val="en-US" w:eastAsia="zh-CN" w:bidi="ar"/>
        </w:rPr>
        <w:t>【事前告知】</w:t>
      </w:r>
      <w:r>
        <w:rPr>
          <w:rFonts w:hint="default" w:ascii="Times New Roman" w:hAnsi="Times New Roman" w:eastAsia="仿宋_GB2312" w:cs="Times New Roman"/>
          <w:color w:val="000000"/>
          <w:kern w:val="2"/>
          <w:sz w:val="32"/>
          <w:szCs w:val="32"/>
          <w:lang w:val="en-US" w:eastAsia="zh-CN" w:bidi="ar"/>
        </w:rPr>
        <w:t>科技行政管理部门在作出行政处罚决定之前，应当告知当事人作出行政处罚决定的事实、理由及依据，并告知当事人依法享有的权利。</w:t>
      </w:r>
    </w:p>
    <w:p w14:paraId="1BA33EEB">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3"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仿宋_GB2312" w:hAnsi="仿宋_GB2312" w:eastAsia="仿宋_GB2312" w:cs="仿宋_GB2312"/>
          <w:b/>
          <w:bCs/>
          <w:color w:val="000000"/>
          <w:kern w:val="2"/>
          <w:sz w:val="32"/>
          <w:szCs w:val="32"/>
          <w:lang w:val="en-US" w:eastAsia="zh-CN" w:bidi="ar"/>
        </w:rPr>
        <w:t>第十</w:t>
      </w:r>
      <w:r>
        <w:rPr>
          <w:rFonts w:hint="eastAsia" w:ascii="仿宋_GB2312" w:hAnsi="仿宋_GB2312" w:eastAsia="仿宋_GB2312" w:cs="仿宋_GB2312"/>
          <w:b/>
          <w:bCs/>
          <w:color w:val="000000"/>
          <w:kern w:val="2"/>
          <w:sz w:val="32"/>
          <w:szCs w:val="32"/>
          <w:lang w:val="en-US" w:eastAsia="zh-CN" w:bidi="ar"/>
        </w:rPr>
        <w:t>五</w:t>
      </w:r>
      <w:r>
        <w:rPr>
          <w:rFonts w:hint="default" w:ascii="仿宋_GB2312" w:hAnsi="仿宋_GB2312" w:eastAsia="仿宋_GB2312" w:cs="仿宋_GB2312"/>
          <w:b/>
          <w:bCs/>
          <w:color w:val="000000"/>
          <w:kern w:val="2"/>
          <w:sz w:val="32"/>
          <w:szCs w:val="32"/>
          <w:lang w:val="en-US" w:eastAsia="zh-CN" w:bidi="ar"/>
        </w:rPr>
        <w:t xml:space="preserve">条  </w:t>
      </w:r>
      <w:r>
        <w:rPr>
          <w:rFonts w:hint="eastAsia" w:ascii="楷体_GB2312" w:hAnsi="楷体_GB2312" w:eastAsia="楷体_GB2312" w:cs="楷体_GB2312"/>
          <w:kern w:val="2"/>
          <w:sz w:val="32"/>
          <w:szCs w:val="32"/>
          <w:lang w:val="en-US" w:eastAsia="zh-CN" w:bidi="ar"/>
        </w:rPr>
        <w:t>【听取意见】</w:t>
      </w:r>
      <w:r>
        <w:rPr>
          <w:rFonts w:hint="default" w:ascii="Times New Roman" w:hAnsi="Times New Roman" w:eastAsia="仿宋_GB2312" w:cs="Times New Roman"/>
          <w:color w:val="000000"/>
          <w:kern w:val="2"/>
          <w:sz w:val="32"/>
          <w:szCs w:val="32"/>
          <w:lang w:val="en-US" w:eastAsia="zh-CN" w:bidi="ar"/>
        </w:rPr>
        <w:t>科技行政管理部门在行使行政处罚裁量权时，应当充分听取当事人的意见，对当事人提出的事实、理由和证据，应当进行复核；当事人提出的事实、理由或者证据成立的，应当采纳，并不得因当事人申辩而加重处罚。</w:t>
      </w:r>
    </w:p>
    <w:p w14:paraId="3813715C">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3"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仿宋_GB2312" w:hAnsi="仿宋_GB2312" w:eastAsia="仿宋_GB2312" w:cs="仿宋_GB2312"/>
          <w:b/>
          <w:bCs/>
          <w:color w:val="000000"/>
          <w:kern w:val="2"/>
          <w:sz w:val="32"/>
          <w:szCs w:val="32"/>
          <w:lang w:val="en-US" w:eastAsia="zh-CN" w:bidi="ar"/>
        </w:rPr>
        <w:t>第十</w:t>
      </w:r>
      <w:r>
        <w:rPr>
          <w:rFonts w:hint="eastAsia" w:ascii="仿宋_GB2312" w:hAnsi="仿宋_GB2312" w:eastAsia="仿宋_GB2312" w:cs="仿宋_GB2312"/>
          <w:b/>
          <w:bCs/>
          <w:color w:val="000000"/>
          <w:kern w:val="2"/>
          <w:sz w:val="32"/>
          <w:szCs w:val="32"/>
          <w:lang w:val="en-US" w:eastAsia="zh-CN" w:bidi="ar"/>
        </w:rPr>
        <w:t>六</w:t>
      </w:r>
      <w:r>
        <w:rPr>
          <w:rFonts w:hint="default" w:ascii="仿宋_GB2312" w:hAnsi="仿宋_GB2312" w:eastAsia="仿宋_GB2312" w:cs="仿宋_GB2312"/>
          <w:b/>
          <w:bCs/>
          <w:color w:val="000000"/>
          <w:kern w:val="2"/>
          <w:sz w:val="32"/>
          <w:szCs w:val="32"/>
          <w:lang w:val="en-US" w:eastAsia="zh-CN" w:bidi="ar"/>
        </w:rPr>
        <w:t xml:space="preserve">条  </w:t>
      </w:r>
      <w:r>
        <w:rPr>
          <w:rFonts w:hint="eastAsia" w:ascii="楷体_GB2312" w:hAnsi="楷体_GB2312" w:eastAsia="楷体_GB2312" w:cs="楷体_GB2312"/>
          <w:kern w:val="2"/>
          <w:sz w:val="32"/>
          <w:szCs w:val="32"/>
          <w:lang w:val="en-US" w:eastAsia="zh-CN" w:bidi="ar"/>
        </w:rPr>
        <w:t>【听证情形】</w:t>
      </w:r>
      <w:r>
        <w:rPr>
          <w:rFonts w:hint="default" w:ascii="Times New Roman" w:hAnsi="Times New Roman" w:eastAsia="仿宋_GB2312" w:cs="Times New Roman"/>
          <w:color w:val="000000"/>
          <w:kern w:val="2"/>
          <w:sz w:val="32"/>
          <w:szCs w:val="32"/>
          <w:lang w:val="en-US" w:eastAsia="zh-CN" w:bidi="ar"/>
        </w:rPr>
        <w:t>作出下列行政处罚决定，应当告知当事人有要求听证的权利</w:t>
      </w:r>
      <w:r>
        <w:rPr>
          <w:rFonts w:hint="eastAsia" w:ascii="Times New Roman" w:hAnsi="Times New Roman" w:eastAsia="仿宋_GB2312" w:cs="Times New Roman"/>
          <w:color w:val="000000"/>
          <w:kern w:val="2"/>
          <w:sz w:val="32"/>
          <w:szCs w:val="32"/>
          <w:lang w:val="en-US" w:eastAsia="zh-CN" w:bidi="ar"/>
        </w:rPr>
        <w:t>；</w:t>
      </w:r>
      <w:r>
        <w:rPr>
          <w:rFonts w:hint="default" w:ascii="Times New Roman" w:hAnsi="Times New Roman" w:eastAsia="仿宋_GB2312" w:cs="Times New Roman"/>
          <w:color w:val="000000"/>
          <w:kern w:val="2"/>
          <w:sz w:val="32"/>
          <w:szCs w:val="32"/>
          <w:lang w:val="en-US" w:eastAsia="zh-CN" w:bidi="ar"/>
        </w:rPr>
        <w:t>当事人要求听证的，应当组织听证：</w:t>
      </w:r>
      <w:r>
        <w:rPr>
          <w:rFonts w:hint="eastAsia" w:ascii="Times New Roman" w:hAnsi="Times New Roman" w:eastAsia="仿宋_GB2312" w:cs="Times New Roman"/>
          <w:color w:val="000000"/>
          <w:kern w:val="2"/>
          <w:sz w:val="32"/>
          <w:szCs w:val="32"/>
          <w:vertAlign w:val="superscript"/>
          <w:lang w:val="en-US" w:eastAsia="zh-CN" w:bidi="ar"/>
        </w:rPr>
        <w:t>2</w:t>
      </w:r>
    </w:p>
    <w:p w14:paraId="6049F2BA">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highlight w:val="none"/>
          <w:lang w:val="en-US" w:eastAsia="zh-CN" w:bidi="ar"/>
        </w:rPr>
      </w:pPr>
      <w:r>
        <w:rPr>
          <w:rFonts w:hint="default" w:ascii="Times New Roman" w:hAnsi="Times New Roman" w:eastAsia="仿宋_GB2312" w:cs="Times New Roman"/>
          <w:color w:val="000000"/>
          <w:kern w:val="2"/>
          <w:sz w:val="32"/>
          <w:szCs w:val="32"/>
          <w:highlight w:val="none"/>
          <w:lang w:val="en-US" w:eastAsia="zh-CN" w:bidi="ar"/>
        </w:rPr>
        <w:t>（一）对公民处以一万元以上（含一万元）、对法人或者其他组织处以一百万元以上（含一</w:t>
      </w:r>
      <w:r>
        <w:rPr>
          <w:rFonts w:hint="eastAsia" w:ascii="Times New Roman" w:hAnsi="Times New Roman" w:eastAsia="仿宋_GB2312" w:cs="Times New Roman"/>
          <w:color w:val="000000"/>
          <w:kern w:val="2"/>
          <w:sz w:val="32"/>
          <w:szCs w:val="32"/>
          <w:highlight w:val="none"/>
          <w:lang w:val="en-US" w:eastAsia="zh-CN" w:bidi="ar"/>
        </w:rPr>
        <w:t>百</w:t>
      </w:r>
      <w:r>
        <w:rPr>
          <w:rFonts w:hint="default" w:ascii="Times New Roman" w:hAnsi="Times New Roman" w:eastAsia="仿宋_GB2312" w:cs="Times New Roman"/>
          <w:color w:val="000000"/>
          <w:kern w:val="2"/>
          <w:sz w:val="32"/>
          <w:szCs w:val="32"/>
          <w:highlight w:val="none"/>
          <w:lang w:val="en-US" w:eastAsia="zh-CN" w:bidi="ar"/>
        </w:rPr>
        <w:t>万元）罚款的；</w:t>
      </w:r>
    </w:p>
    <w:p w14:paraId="1A65B44C">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（二）没收违法所得、没收非法财物达到前款所列数额、价值的；</w:t>
      </w:r>
    </w:p>
    <w:p w14:paraId="24708DE9">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（三）降低资质等级、吊销许可证件的；</w:t>
      </w:r>
    </w:p>
    <w:p w14:paraId="2613AD6E">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（四）责令停产停业、责令关闭、限制从业的；</w:t>
      </w:r>
    </w:p>
    <w:p w14:paraId="5D2EA055">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黑体" w:cs="Times New Roman"/>
          <w:color w:val="FF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（五）法律、法规、规章规定应当听证的其他情形。</w:t>
      </w:r>
    </w:p>
    <w:p w14:paraId="546476F9">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3"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仿宋_GB2312" w:hAnsi="仿宋_GB2312" w:eastAsia="仿宋_GB2312" w:cs="仿宋_GB2312"/>
          <w:b/>
          <w:bCs/>
          <w:color w:val="000000"/>
          <w:kern w:val="2"/>
          <w:sz w:val="32"/>
          <w:szCs w:val="32"/>
          <w:lang w:val="en-US" w:eastAsia="zh-CN" w:bidi="ar"/>
        </w:rPr>
        <w:t>第十</w:t>
      </w:r>
      <w:r>
        <w:rPr>
          <w:rFonts w:hint="eastAsia" w:ascii="仿宋_GB2312" w:hAnsi="仿宋_GB2312" w:eastAsia="仿宋_GB2312" w:cs="仿宋_GB2312"/>
          <w:b/>
          <w:bCs/>
          <w:color w:val="000000"/>
          <w:kern w:val="2"/>
          <w:sz w:val="32"/>
          <w:szCs w:val="32"/>
          <w:lang w:val="en-US" w:eastAsia="zh-CN" w:bidi="ar"/>
        </w:rPr>
        <w:t>七</w:t>
      </w:r>
      <w:r>
        <w:rPr>
          <w:rFonts w:hint="default" w:ascii="仿宋_GB2312" w:hAnsi="仿宋_GB2312" w:eastAsia="仿宋_GB2312" w:cs="仿宋_GB2312"/>
          <w:b/>
          <w:bCs/>
          <w:color w:val="000000"/>
          <w:kern w:val="2"/>
          <w:sz w:val="32"/>
          <w:szCs w:val="32"/>
          <w:lang w:val="en-US" w:eastAsia="zh-CN" w:bidi="ar"/>
        </w:rPr>
        <w:t xml:space="preserve">条  </w:t>
      </w:r>
      <w:r>
        <w:rPr>
          <w:rFonts w:hint="eastAsia" w:ascii="楷体_GB2312" w:hAnsi="楷体_GB2312" w:eastAsia="楷体_GB2312" w:cs="楷体_GB2312"/>
          <w:kern w:val="2"/>
          <w:sz w:val="32"/>
          <w:szCs w:val="32"/>
          <w:lang w:val="en-US" w:eastAsia="zh-CN" w:bidi="ar"/>
        </w:rPr>
        <w:t>【法制审核情形】</w:t>
      </w:r>
      <w:r>
        <w:rPr>
          <w:rFonts w:hint="default" w:ascii="Times New Roman" w:hAnsi="Times New Roman" w:eastAsia="仿宋_GB2312" w:cs="Times New Roman"/>
          <w:color w:val="000000"/>
          <w:kern w:val="2"/>
          <w:sz w:val="32"/>
          <w:szCs w:val="32"/>
          <w:lang w:val="en-US" w:eastAsia="zh-CN" w:bidi="ar"/>
        </w:rPr>
        <w:t>有下列情形之一，在科技行政管理部门负责人作出行政处罚的决定之前，应当由从事行政处罚决定法制审核的人员进行法制审核；未经法制审核或者审核未通过的，不得作出决定：</w:t>
      </w:r>
    </w:p>
    <w:p w14:paraId="6D696D30">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（一）涉及重大公共利益的；</w:t>
      </w:r>
    </w:p>
    <w:p w14:paraId="01A8570A">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（二）直接关系当事人或者第三人重大权益，经过听证程序的；</w:t>
      </w:r>
    </w:p>
    <w:p w14:paraId="2D949A34">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（三）案件情况疑难复杂、涉及多个法律关系的；</w:t>
      </w:r>
    </w:p>
    <w:p w14:paraId="21A454F8">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vertAlign w:val="superscript"/>
          <w:lang w:val="en-US" w:eastAsia="zh-CN" w:bidi="ar"/>
        </w:rPr>
      </w:pPr>
      <w:r>
        <w:rPr>
          <w:rFonts w:hint="default" w:ascii="Times New Roman" w:hAnsi="Times New Roman" w:eastAsia="仿宋_GB2312" w:cs="Times New Roman"/>
          <w:color w:val="000000"/>
          <w:kern w:val="2"/>
          <w:sz w:val="32"/>
          <w:szCs w:val="32"/>
          <w:lang w:val="en-US" w:eastAsia="zh-CN" w:bidi="ar"/>
        </w:rPr>
        <w:t>（四）法律、法规、规章规定应当进行法制审核的其他情形。</w:t>
      </w:r>
      <w:r>
        <w:rPr>
          <w:rFonts w:hint="eastAsia" w:ascii="Times New Roman" w:hAnsi="Times New Roman" w:eastAsia="仿宋_GB2312" w:cs="Times New Roman"/>
          <w:color w:val="000000"/>
          <w:kern w:val="2"/>
          <w:sz w:val="32"/>
          <w:szCs w:val="32"/>
          <w:vertAlign w:val="superscript"/>
          <w:lang w:val="en-US" w:eastAsia="zh-CN" w:bidi="ar"/>
        </w:rPr>
        <w:t>5</w:t>
      </w:r>
    </w:p>
    <w:p w14:paraId="3CA5D1FC">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3" w:firstLineChars="200"/>
        <w:jc w:val="both"/>
        <w:textAlignment w:val="auto"/>
        <w:outlineLvl w:val="9"/>
        <w:rPr>
          <w:rFonts w:hint="default" w:ascii="Times New Roman" w:hAnsi="Times New Roman" w:eastAsia="宋体" w:cs="Times New Roman"/>
          <w:sz w:val="21"/>
          <w:szCs w:val="21"/>
          <w:lang w:val="en-US" w:eastAsia="zh-CN"/>
        </w:rPr>
      </w:pPr>
      <w:r>
        <w:rPr>
          <w:rFonts w:hint="default" w:ascii="仿宋_GB2312" w:hAnsi="仿宋_GB2312" w:eastAsia="仿宋_GB2312" w:cs="仿宋_GB2312"/>
          <w:b/>
          <w:bCs/>
          <w:color w:val="000000"/>
          <w:kern w:val="2"/>
          <w:sz w:val="32"/>
          <w:szCs w:val="32"/>
          <w:lang w:val="zh-CN" w:eastAsia="zh-CN" w:bidi="ar"/>
        </w:rPr>
        <w:t>第十</w:t>
      </w:r>
      <w:r>
        <w:rPr>
          <w:rFonts w:hint="eastAsia" w:ascii="仿宋_GB2312" w:hAnsi="仿宋_GB2312" w:eastAsia="仿宋_GB2312" w:cs="仿宋_GB2312"/>
          <w:b/>
          <w:bCs/>
          <w:color w:val="000000"/>
          <w:kern w:val="2"/>
          <w:sz w:val="32"/>
          <w:szCs w:val="32"/>
          <w:lang w:val="zh-CN" w:eastAsia="zh-CN" w:bidi="ar"/>
        </w:rPr>
        <w:t>八</w:t>
      </w:r>
      <w:r>
        <w:rPr>
          <w:rFonts w:hint="default" w:ascii="仿宋_GB2312" w:hAnsi="仿宋_GB2312" w:eastAsia="仿宋_GB2312" w:cs="仿宋_GB2312"/>
          <w:b/>
          <w:bCs/>
          <w:color w:val="000000"/>
          <w:kern w:val="2"/>
          <w:sz w:val="32"/>
          <w:szCs w:val="32"/>
          <w:lang w:val="zh-CN" w:eastAsia="zh-CN" w:bidi="ar"/>
        </w:rPr>
        <w:t xml:space="preserve">条 </w:t>
      </w:r>
      <w:r>
        <w:rPr>
          <w:rFonts w:hint="default" w:ascii="仿宋_GB2312" w:hAnsi="仿宋_GB2312" w:eastAsia="仿宋_GB2312" w:cs="仿宋_GB2312"/>
          <w:b/>
          <w:bCs/>
          <w:color w:val="000000"/>
          <w:kern w:val="2"/>
          <w:sz w:val="32"/>
          <w:szCs w:val="32"/>
          <w:lang w:val="en-US" w:eastAsia="zh-CN" w:bidi="ar"/>
        </w:rPr>
        <w:t xml:space="preserve"> </w:t>
      </w:r>
      <w:r>
        <w:rPr>
          <w:rFonts w:hint="eastAsia" w:ascii="楷体_GB2312" w:hAnsi="楷体_GB2312" w:eastAsia="楷体_GB2312" w:cs="楷体_GB2312"/>
          <w:kern w:val="2"/>
          <w:sz w:val="32"/>
          <w:szCs w:val="32"/>
          <w:lang w:val="en-US" w:eastAsia="zh-CN" w:bidi="ar"/>
        </w:rPr>
        <w:t>【集体决定】</w:t>
      </w:r>
      <w:r>
        <w:rPr>
          <w:rFonts w:hint="default" w:ascii="Times New Roman" w:hAnsi="Times New Roman" w:eastAsia="仿宋_GB2312" w:cs="Times New Roman"/>
          <w:color w:val="000000"/>
          <w:kern w:val="2"/>
          <w:sz w:val="32"/>
          <w:szCs w:val="32"/>
          <w:lang w:val="zh-CN" w:eastAsia="zh-CN" w:bidi="ar"/>
        </w:rPr>
        <w:t>对情节复杂或者重大违法行为给予较重的行政处罚，</w:t>
      </w:r>
      <w:r>
        <w:rPr>
          <w:rFonts w:hint="default" w:ascii="Times New Roman" w:hAnsi="Times New Roman" w:eastAsia="仿宋_GB2312" w:cs="Times New Roman"/>
          <w:color w:val="000000"/>
          <w:kern w:val="2"/>
          <w:sz w:val="32"/>
          <w:szCs w:val="32"/>
          <w:lang w:val="en-US" w:eastAsia="zh-CN" w:bidi="ar"/>
        </w:rPr>
        <w:t>科技行政管理部门</w:t>
      </w:r>
      <w:r>
        <w:rPr>
          <w:rFonts w:hint="default" w:ascii="Times New Roman" w:hAnsi="Times New Roman" w:eastAsia="仿宋_GB2312" w:cs="Times New Roman"/>
          <w:color w:val="000000"/>
          <w:kern w:val="2"/>
          <w:sz w:val="32"/>
          <w:szCs w:val="32"/>
          <w:lang w:val="zh-CN" w:eastAsia="zh-CN" w:bidi="ar"/>
        </w:rPr>
        <w:t>负责人应当集体讨论决定。</w:t>
      </w:r>
      <w:r>
        <w:rPr>
          <w:rFonts w:hint="eastAsia" w:ascii="Times New Roman" w:hAnsi="Times New Roman" w:eastAsia="仿宋_GB2312" w:cs="Times New Roman"/>
          <w:color w:val="000000"/>
          <w:kern w:val="2"/>
          <w:sz w:val="32"/>
          <w:szCs w:val="32"/>
          <w:vertAlign w:val="superscript"/>
          <w:lang w:val="en-US" w:eastAsia="zh-CN" w:bidi="ar"/>
        </w:rPr>
        <w:t>5</w:t>
      </w:r>
    </w:p>
    <w:p w14:paraId="3D9D23AC">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3"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仿宋_GB2312" w:hAnsi="仿宋_GB2312" w:eastAsia="仿宋_GB2312" w:cs="仿宋_GB2312"/>
          <w:b/>
          <w:bCs/>
          <w:color w:val="000000"/>
          <w:kern w:val="2"/>
          <w:sz w:val="32"/>
          <w:szCs w:val="32"/>
          <w:lang w:val="en-US" w:eastAsia="zh-CN" w:bidi="ar"/>
        </w:rPr>
        <w:t>第十</w:t>
      </w:r>
      <w:r>
        <w:rPr>
          <w:rFonts w:hint="eastAsia" w:ascii="仿宋_GB2312" w:hAnsi="仿宋_GB2312" w:eastAsia="仿宋_GB2312" w:cs="仿宋_GB2312"/>
          <w:b/>
          <w:bCs/>
          <w:color w:val="000000"/>
          <w:kern w:val="2"/>
          <w:sz w:val="32"/>
          <w:szCs w:val="32"/>
          <w:lang w:val="en-US" w:eastAsia="zh-CN" w:bidi="ar"/>
        </w:rPr>
        <w:t>九</w:t>
      </w:r>
      <w:r>
        <w:rPr>
          <w:rFonts w:hint="default" w:ascii="仿宋_GB2312" w:hAnsi="仿宋_GB2312" w:eastAsia="仿宋_GB2312" w:cs="仿宋_GB2312"/>
          <w:b/>
          <w:bCs/>
          <w:color w:val="000000"/>
          <w:kern w:val="2"/>
          <w:sz w:val="32"/>
          <w:szCs w:val="32"/>
          <w:lang w:val="en-US" w:eastAsia="zh-CN" w:bidi="ar"/>
        </w:rPr>
        <w:t xml:space="preserve">条  </w:t>
      </w:r>
      <w:r>
        <w:rPr>
          <w:rFonts w:hint="eastAsia" w:ascii="楷体_GB2312" w:hAnsi="楷体_GB2312" w:eastAsia="楷体_GB2312" w:cs="楷体_GB2312"/>
          <w:kern w:val="2"/>
          <w:sz w:val="32"/>
          <w:szCs w:val="32"/>
          <w:lang w:val="en-US" w:eastAsia="zh-CN" w:bidi="ar"/>
        </w:rPr>
        <w:t>【登记制度】</w:t>
      </w:r>
      <w:r>
        <w:rPr>
          <w:rFonts w:hint="default" w:ascii="Times New Roman" w:hAnsi="Times New Roman" w:eastAsia="仿宋_GB2312" w:cs="Times New Roman"/>
          <w:color w:val="000000"/>
          <w:kern w:val="2"/>
          <w:sz w:val="32"/>
          <w:szCs w:val="32"/>
          <w:lang w:val="en-US" w:eastAsia="zh-CN" w:bidi="ar"/>
        </w:rPr>
        <w:t>集体研究决定的案件要实行登记制度，对案件的具体情节、研究过程和处理决定均应详细记录在案，制作会议纪要，归入执法案卷。</w:t>
      </w:r>
      <w:r>
        <w:rPr>
          <w:rStyle w:val="16"/>
          <w:rFonts w:hint="default" w:ascii="Times New Roman" w:hAnsi="Times New Roman" w:eastAsia="仿宋_GB2312" w:cs="Times New Roman"/>
          <w:color w:val="000000"/>
          <w:kern w:val="2"/>
          <w:sz w:val="32"/>
          <w:szCs w:val="32"/>
          <w:lang w:val="en-US" w:eastAsia="zh-CN" w:bidi="ar"/>
        </w:rPr>
        <w:footnoteReference w:id="7"/>
      </w:r>
    </w:p>
    <w:p w14:paraId="5E6ADBE7">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3"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仿宋_GB2312" w:hAnsi="仿宋_GB2312" w:eastAsia="仿宋_GB2312" w:cs="仿宋_GB2312"/>
          <w:b/>
          <w:bCs/>
          <w:color w:val="000000"/>
          <w:kern w:val="2"/>
          <w:sz w:val="32"/>
          <w:szCs w:val="32"/>
          <w:lang w:val="en-US" w:eastAsia="zh-CN" w:bidi="ar"/>
        </w:rPr>
        <w:t>第</w:t>
      </w:r>
      <w:r>
        <w:rPr>
          <w:rFonts w:hint="eastAsia" w:ascii="仿宋_GB2312" w:hAnsi="仿宋_GB2312" w:eastAsia="仿宋_GB2312" w:cs="仿宋_GB2312"/>
          <w:b/>
          <w:bCs/>
          <w:color w:val="000000"/>
          <w:kern w:val="2"/>
          <w:sz w:val="32"/>
          <w:szCs w:val="32"/>
          <w:lang w:val="en-US" w:eastAsia="zh-CN" w:bidi="ar"/>
        </w:rPr>
        <w:t>二</w:t>
      </w:r>
      <w:r>
        <w:rPr>
          <w:rFonts w:hint="default" w:ascii="仿宋_GB2312" w:hAnsi="仿宋_GB2312" w:eastAsia="仿宋_GB2312" w:cs="仿宋_GB2312"/>
          <w:b/>
          <w:bCs/>
          <w:color w:val="000000"/>
          <w:kern w:val="2"/>
          <w:sz w:val="32"/>
          <w:szCs w:val="32"/>
          <w:lang w:val="en-US" w:eastAsia="zh-CN" w:bidi="ar"/>
        </w:rPr>
        <w:t xml:space="preserve">十条  </w:t>
      </w:r>
      <w:r>
        <w:rPr>
          <w:rFonts w:hint="eastAsia" w:ascii="楷体_GB2312" w:hAnsi="楷体_GB2312" w:eastAsia="楷体_GB2312" w:cs="楷体_GB2312"/>
          <w:kern w:val="2"/>
          <w:sz w:val="32"/>
          <w:szCs w:val="32"/>
          <w:lang w:val="en-US" w:eastAsia="zh-CN" w:bidi="ar"/>
        </w:rPr>
        <w:t>【责任追究】</w:t>
      </w:r>
      <w:r>
        <w:rPr>
          <w:rFonts w:hint="default" w:ascii="Times New Roman" w:hAnsi="Times New Roman" w:eastAsia="仿宋_GB2312" w:cs="Times New Roman"/>
          <w:color w:val="000000"/>
          <w:kern w:val="2"/>
          <w:sz w:val="32"/>
          <w:szCs w:val="32"/>
          <w:lang w:val="en-US" w:eastAsia="zh-CN" w:bidi="ar"/>
        </w:rPr>
        <w:t>对于重责轻罚、轻责重罚、不按程序行使处罚裁量权等滥用处罚裁量权的行为，要按照行政执法过错责任追究的有关规定，依法追究有关人员的责任；构成犯罪的，依法追究刑事责任。</w:t>
      </w:r>
      <w:r>
        <w:rPr>
          <w:rFonts w:hint="eastAsia" w:ascii="Times New Roman" w:hAnsi="Times New Roman" w:eastAsia="仿宋_GB2312" w:cs="Times New Roman"/>
          <w:color w:val="000000"/>
          <w:kern w:val="2"/>
          <w:sz w:val="32"/>
          <w:szCs w:val="32"/>
          <w:vertAlign w:val="superscript"/>
          <w:lang w:val="en-US" w:eastAsia="zh-CN" w:bidi="ar"/>
        </w:rPr>
        <w:t>7</w:t>
      </w:r>
    </w:p>
    <w:p w14:paraId="364FF384">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3" w:firstLineChars="200"/>
        <w:jc w:val="both"/>
        <w:textAlignment w:val="auto"/>
        <w:outlineLvl w:val="9"/>
        <w:rPr>
          <w:rFonts w:hint="default" w:ascii="Times New Roman" w:hAnsi="Times New Roman" w:eastAsia="仿宋_GB2312" w:cs="Times New Roman"/>
          <w:color w:val="000000"/>
          <w:kern w:val="2"/>
          <w:sz w:val="32"/>
          <w:szCs w:val="32"/>
          <w:vertAlign w:val="superscript"/>
          <w:lang w:val="en-US" w:eastAsia="zh-CN" w:bidi="ar"/>
        </w:rPr>
      </w:pPr>
      <w:r>
        <w:rPr>
          <w:rFonts w:hint="default" w:ascii="仿宋_GB2312" w:hAnsi="仿宋_GB2312" w:eastAsia="仿宋_GB2312" w:cs="仿宋_GB2312"/>
          <w:b/>
          <w:bCs/>
          <w:color w:val="000000"/>
          <w:kern w:val="2"/>
          <w:sz w:val="32"/>
          <w:szCs w:val="32"/>
          <w:lang w:val="en-US" w:eastAsia="zh-CN" w:bidi="ar"/>
        </w:rPr>
        <w:t>第二十</w:t>
      </w:r>
      <w:r>
        <w:rPr>
          <w:rFonts w:hint="eastAsia" w:ascii="仿宋_GB2312" w:hAnsi="仿宋_GB2312" w:eastAsia="仿宋_GB2312" w:cs="仿宋_GB2312"/>
          <w:b/>
          <w:bCs/>
          <w:color w:val="000000"/>
          <w:kern w:val="2"/>
          <w:sz w:val="32"/>
          <w:szCs w:val="32"/>
          <w:lang w:val="en-US" w:eastAsia="zh-CN" w:bidi="ar"/>
        </w:rPr>
        <w:t>一</w:t>
      </w:r>
      <w:r>
        <w:rPr>
          <w:rFonts w:hint="default" w:ascii="仿宋_GB2312" w:hAnsi="仿宋_GB2312" w:eastAsia="仿宋_GB2312" w:cs="仿宋_GB2312"/>
          <w:b/>
          <w:bCs/>
          <w:color w:val="000000"/>
          <w:kern w:val="2"/>
          <w:sz w:val="32"/>
          <w:szCs w:val="32"/>
          <w:lang w:val="en-US" w:eastAsia="zh-CN" w:bidi="ar"/>
        </w:rPr>
        <w:t xml:space="preserve">条  </w:t>
      </w:r>
      <w:r>
        <w:rPr>
          <w:rFonts w:hint="eastAsia" w:ascii="楷体_GB2312" w:hAnsi="楷体_GB2312" w:eastAsia="楷体_GB2312" w:cs="楷体_GB2312"/>
          <w:kern w:val="2"/>
          <w:sz w:val="32"/>
          <w:szCs w:val="32"/>
          <w:lang w:val="en-US" w:eastAsia="zh-CN" w:bidi="ar"/>
        </w:rPr>
        <w:t>【加强监督】</w:t>
      </w:r>
      <w:r>
        <w:rPr>
          <w:rFonts w:hint="default" w:ascii="Times New Roman" w:hAnsi="Times New Roman" w:eastAsia="仿宋_GB2312" w:cs="Times New Roman"/>
          <w:color w:val="000000"/>
          <w:kern w:val="2"/>
          <w:sz w:val="32"/>
          <w:szCs w:val="32"/>
          <w:lang w:val="en-US" w:eastAsia="zh-CN" w:bidi="ar"/>
        </w:rPr>
        <w:t>科技行政管理部门应当通过行政执法检查、信访、案件投诉、重大案件备案等形式加强对实施行政处罚裁量权情况的监督。</w:t>
      </w:r>
      <w:r>
        <w:rPr>
          <w:rFonts w:hint="eastAsia" w:ascii="Times New Roman" w:hAnsi="Times New Roman" w:eastAsia="仿宋_GB2312" w:cs="Times New Roman"/>
          <w:color w:val="000000"/>
          <w:kern w:val="2"/>
          <w:sz w:val="32"/>
          <w:szCs w:val="32"/>
          <w:vertAlign w:val="superscript"/>
          <w:lang w:val="en-US" w:eastAsia="zh-CN" w:bidi="ar"/>
        </w:rPr>
        <w:t>4</w:t>
      </w:r>
    </w:p>
    <w:p w14:paraId="4F267DDE">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
        </w:rPr>
      </w:pPr>
    </w:p>
    <w:p w14:paraId="755A7395">
      <w:pPr>
        <w:keepNext w:val="0"/>
        <w:keepLines w:val="0"/>
        <w:pageBreakBefore w:val="0"/>
        <w:widowControl w:val="0"/>
        <w:kinsoku/>
        <w:wordWrap/>
        <w:overflowPunct/>
        <w:topLinePunct/>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黑体" w:cs="Times New Roman"/>
          <w:snapToGrid w:val="0"/>
          <w:color w:val="000000"/>
          <w:kern w:val="0"/>
          <w:sz w:val="32"/>
          <w:szCs w:val="32"/>
          <w:lang w:val="en-US" w:eastAsia="zh-CN" w:bidi="ar-SA"/>
        </w:rPr>
        <w:t>第四章  附则</w:t>
      </w:r>
    </w:p>
    <w:p w14:paraId="75CE4AC8">
      <w:pPr>
        <w:keepNext w:val="0"/>
        <w:keepLines w:val="0"/>
        <w:pageBreakBefore w:val="0"/>
        <w:widowControl w:val="0"/>
        <w:suppressLineNumbers w:val="0"/>
        <w:suppressAutoHyphens/>
        <w:kinsoku/>
        <w:wordWrap/>
        <w:overflowPunct w:val="0"/>
        <w:topLinePunct w:val="0"/>
        <w:autoSpaceDE/>
        <w:autoSpaceDN/>
        <w:bidi w:val="0"/>
        <w:adjustRightInd w:val="0"/>
        <w:snapToGrid w:val="0"/>
        <w:spacing w:before="0" w:beforeAutospacing="0" w:after="0" w:afterAutospacing="0" w:line="560" w:lineRule="exact"/>
        <w:ind w:left="0" w:right="0" w:firstLine="643" w:firstLineChars="200"/>
        <w:jc w:val="both"/>
        <w:textAlignment w:val="auto"/>
        <w:outlineLvl w:val="9"/>
        <w:rPr>
          <w:rFonts w:hint="default" w:ascii="Times New Roman" w:hAnsi="Times New Roman" w:cs="Times New Roman"/>
          <w:lang w:val="en-US" w:eastAsia="zh-CN"/>
        </w:rPr>
      </w:pPr>
      <w:r>
        <w:rPr>
          <w:rFonts w:hint="default" w:ascii="仿宋_GB2312" w:hAnsi="仿宋_GB2312" w:eastAsia="仿宋_GB2312" w:cs="仿宋_GB2312"/>
          <w:b/>
          <w:bCs/>
          <w:color w:val="000000"/>
          <w:kern w:val="2"/>
          <w:sz w:val="32"/>
          <w:szCs w:val="32"/>
          <w:lang w:val="en-US" w:eastAsia="zh-CN" w:bidi="ar"/>
        </w:rPr>
        <w:t>第二十</w:t>
      </w:r>
      <w:r>
        <w:rPr>
          <w:rFonts w:hint="eastAsia" w:ascii="仿宋_GB2312" w:hAnsi="仿宋_GB2312" w:eastAsia="仿宋_GB2312" w:cs="仿宋_GB2312"/>
          <w:b/>
          <w:bCs/>
          <w:color w:val="000000"/>
          <w:kern w:val="2"/>
          <w:sz w:val="32"/>
          <w:szCs w:val="32"/>
          <w:lang w:val="en-US" w:eastAsia="zh-CN" w:bidi="ar"/>
        </w:rPr>
        <w:t>二</w:t>
      </w:r>
      <w:r>
        <w:rPr>
          <w:rFonts w:hint="default" w:ascii="仿宋_GB2312" w:hAnsi="仿宋_GB2312" w:eastAsia="仿宋_GB2312" w:cs="仿宋_GB2312"/>
          <w:b/>
          <w:bCs/>
          <w:color w:val="000000"/>
          <w:kern w:val="2"/>
          <w:sz w:val="32"/>
          <w:szCs w:val="32"/>
          <w:lang w:val="en-US" w:eastAsia="zh-CN" w:bidi="ar"/>
        </w:rPr>
        <w:t xml:space="preserve">条  </w:t>
      </w:r>
      <w:r>
        <w:rPr>
          <w:rFonts w:hint="eastAsia" w:ascii="楷体_GB2312" w:hAnsi="楷体_GB2312" w:eastAsia="楷体_GB2312" w:cs="楷体_GB2312"/>
          <w:kern w:val="2"/>
          <w:sz w:val="32"/>
          <w:szCs w:val="32"/>
          <w:lang w:val="en-US" w:eastAsia="zh-CN" w:bidi="ar"/>
        </w:rPr>
        <w:t>【解释主体】</w:t>
      </w:r>
      <w:r>
        <w:rPr>
          <w:rFonts w:hint="default" w:ascii="Times New Roman" w:hAnsi="Times New Roman" w:eastAsia="仿宋_GB2312" w:cs="Times New Roman"/>
          <w:color w:val="000000"/>
          <w:kern w:val="2"/>
          <w:sz w:val="32"/>
          <w:szCs w:val="32"/>
          <w:lang w:val="en-US" w:eastAsia="zh-CN" w:bidi="ar"/>
        </w:rPr>
        <w:t>本办法由四川省科学技术厅负责解释。</w:t>
      </w:r>
    </w:p>
    <w:p w14:paraId="272066B5">
      <w:pPr>
        <w:pStyle w:val="12"/>
        <w:spacing w:after="0" w:line="560" w:lineRule="exact"/>
        <w:ind w:firstLine="643" w:firstLineChars="200"/>
        <w:rPr>
          <w:rFonts w:hint="default" w:ascii="Times New Roman" w:hAnsi="Times New Roman" w:eastAsia="仿宋_GB2312" w:cs="Times New Roman"/>
          <w:color w:val="000000"/>
          <w:kern w:val="2"/>
          <w:sz w:val="32"/>
          <w:szCs w:val="32"/>
          <w:lang w:val="en-US" w:eastAsia="zh-CN" w:bidi="ar"/>
        </w:rPr>
      </w:pPr>
      <w:r>
        <w:rPr>
          <w:rFonts w:hint="default" w:ascii="仿宋_GB2312" w:hAnsi="仿宋_GB2312" w:eastAsia="仿宋_GB2312" w:cs="仿宋_GB2312"/>
          <w:b/>
          <w:bCs/>
          <w:color w:val="000000"/>
          <w:kern w:val="2"/>
          <w:sz w:val="32"/>
          <w:szCs w:val="32"/>
          <w:lang w:val="en-US" w:eastAsia="zh-CN" w:bidi="ar"/>
        </w:rPr>
        <w:t>第二十</w:t>
      </w:r>
      <w:r>
        <w:rPr>
          <w:rFonts w:hint="eastAsia" w:ascii="仿宋_GB2312" w:hAnsi="仿宋_GB2312" w:eastAsia="仿宋_GB2312" w:cs="仿宋_GB2312"/>
          <w:b/>
          <w:bCs/>
          <w:color w:val="000000"/>
          <w:kern w:val="2"/>
          <w:sz w:val="32"/>
          <w:szCs w:val="32"/>
          <w:lang w:val="en-US" w:eastAsia="zh-CN" w:bidi="ar"/>
        </w:rPr>
        <w:t>三</w:t>
      </w:r>
      <w:r>
        <w:rPr>
          <w:rFonts w:hint="default" w:ascii="仿宋_GB2312" w:hAnsi="仿宋_GB2312" w:eastAsia="仿宋_GB2312" w:cs="仿宋_GB2312"/>
          <w:b/>
          <w:bCs/>
          <w:color w:val="000000"/>
          <w:kern w:val="2"/>
          <w:sz w:val="32"/>
          <w:szCs w:val="32"/>
          <w:lang w:val="en-US" w:eastAsia="zh-CN" w:bidi="ar"/>
        </w:rPr>
        <w:t xml:space="preserve">条  </w:t>
      </w:r>
      <w:r>
        <w:rPr>
          <w:rFonts w:hint="eastAsia" w:ascii="楷体_GB2312" w:hAnsi="楷体_GB2312" w:eastAsia="楷体_GB2312" w:cs="楷体_GB2312"/>
          <w:kern w:val="2"/>
          <w:sz w:val="32"/>
          <w:szCs w:val="32"/>
          <w:lang w:val="en-US" w:eastAsia="zh-CN" w:bidi="ar"/>
        </w:rPr>
        <w:t>【施行时间】</w:t>
      </w:r>
      <w:r>
        <w:rPr>
          <w:rFonts w:hint="default" w:ascii="Times New Roman" w:hAnsi="Times New Roman" w:eastAsia="仿宋_GB2312" w:cs="Times New Roman"/>
          <w:color w:val="000000"/>
          <w:kern w:val="2"/>
          <w:sz w:val="32"/>
          <w:szCs w:val="32"/>
          <w:lang w:val="en-US" w:eastAsia="zh-CN" w:bidi="ar"/>
        </w:rPr>
        <w:t>本办法自2026年  月  日起施行，有效期</w:t>
      </w:r>
      <w:r>
        <w:rPr>
          <w:rFonts w:hint="eastAsia" w:ascii="Times New Roman" w:hAnsi="Times New Roman" w:eastAsia="仿宋_GB2312" w:cs="Times New Roman"/>
          <w:color w:val="000000"/>
          <w:kern w:val="2"/>
          <w:sz w:val="32"/>
          <w:szCs w:val="32"/>
          <w:lang w:val="en-US" w:eastAsia="zh-CN" w:bidi="ar"/>
        </w:rPr>
        <w:t>2</w:t>
      </w:r>
      <w:r>
        <w:rPr>
          <w:rFonts w:hint="default" w:ascii="Times New Roman" w:hAnsi="Times New Roman" w:eastAsia="仿宋_GB2312" w:cs="Times New Roman"/>
          <w:color w:val="000000"/>
          <w:kern w:val="2"/>
          <w:sz w:val="32"/>
          <w:szCs w:val="32"/>
          <w:lang w:val="en-US" w:eastAsia="zh-CN" w:bidi="ar"/>
        </w:rPr>
        <w:t>年。</w:t>
      </w:r>
    </w:p>
    <w:p w14:paraId="2A33C0E0">
      <w:pPr>
        <w:pStyle w:val="12"/>
        <w:spacing w:after="0" w:line="560" w:lineRule="exact"/>
        <w:ind w:firstLine="640" w:firstLineChars="200"/>
        <w:rPr>
          <w:rFonts w:hint="default" w:ascii="Times New Roman" w:hAnsi="Times New Roman" w:eastAsia="仿宋_GB2312" w:cs="Times New Roman"/>
          <w:color w:val="000000"/>
          <w:kern w:val="2"/>
          <w:sz w:val="32"/>
          <w:szCs w:val="32"/>
          <w:lang w:val="en-US" w:eastAsia="zh-CN" w:bidi="ar"/>
        </w:rPr>
      </w:pPr>
    </w:p>
    <w:p w14:paraId="76FE72DC">
      <w:pPr>
        <w:pStyle w:val="12"/>
        <w:spacing w:after="0" w:line="560" w:lineRule="exact"/>
        <w:ind w:firstLine="640" w:firstLineChars="200"/>
        <w:rPr>
          <w:rFonts w:hint="default"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附件：四川省科学技术行政处罚裁量权基准</w:t>
      </w:r>
    </w:p>
    <w:p w14:paraId="7B603F26">
      <w:pPr>
        <w:pStyle w:val="12"/>
        <w:spacing w:after="0" w:line="560" w:lineRule="exact"/>
        <w:ind w:firstLine="640" w:firstLineChars="200"/>
        <w:rPr>
          <w:rFonts w:hint="default" w:ascii="Times New Roman" w:hAnsi="Times New Roman" w:eastAsia="仿宋_GB2312" w:cs="Times New Roman"/>
          <w:color w:val="000000"/>
          <w:kern w:val="2"/>
          <w:sz w:val="32"/>
          <w:szCs w:val="32"/>
          <w:lang w:val="en-US" w:eastAsia="zh-CN" w:bidi="ar"/>
        </w:rPr>
      </w:pPr>
    </w:p>
    <w:bookmarkEnd w:id="0"/>
    <w:bookmarkEnd w:id="1"/>
    <w:p w14:paraId="4FF46A87">
      <w:pPr>
        <w:pStyle w:val="12"/>
        <w:rPr>
          <w:rFonts w:hint="default" w:ascii="Times New Roman" w:hAnsi="Times New Roman" w:eastAsia="黑体" w:cs="Times New Roman"/>
          <w:b w:val="0"/>
          <w:bCs w:val="0"/>
          <w:color w:val="000000"/>
          <w:kern w:val="2"/>
          <w:sz w:val="32"/>
          <w:szCs w:val="32"/>
          <w:lang w:val="en-US" w:eastAsia="zh-CN" w:bidi="ar-SA"/>
        </w:rPr>
        <w:sectPr>
          <w:footerReference r:id="rId5" w:type="first"/>
          <w:footerReference r:id="rId4" w:type="default"/>
          <w:pgSz w:w="11906" w:h="16838"/>
          <w:pgMar w:top="2098" w:right="1474" w:bottom="1984" w:left="1587" w:header="2041" w:footer="1587" w:gutter="0"/>
          <w:pgNumType w:fmt="decimal"/>
          <w:cols w:space="0" w:num="1"/>
          <w:titlePg/>
          <w:rtlGutter w:val="0"/>
          <w:docGrid w:type="lines" w:linePitch="312" w:charSpace="0"/>
        </w:sectPr>
      </w:pPr>
    </w:p>
    <w:p w14:paraId="29321D15">
      <w:pPr>
        <w:pStyle w:val="4"/>
        <w:jc w:val="left"/>
        <w:rPr>
          <w:rFonts w:hint="default" w:ascii="Times New Roman" w:hAnsi="Times New Roman" w:eastAsia="方正小标宋简体" w:cs="Times New Roman"/>
          <w:color w:val="000000" w:themeColor="text1"/>
          <w:kern w:val="0"/>
          <w:sz w:val="32"/>
          <w:szCs w:val="32"/>
          <w:lang w:bidi="ar"/>
          <w14:textFill>
            <w14:solidFill>
              <w14:schemeClr w14:val="tx1"/>
            </w14:solidFill>
          </w14:textFill>
        </w:rPr>
      </w:pPr>
      <w:r>
        <w:rPr>
          <w:rFonts w:hint="eastAsia" w:ascii="黑体" w:hAnsi="黑体" w:eastAsia="黑体" w:cs="黑体"/>
          <w:color w:val="000000" w:themeColor="text1"/>
          <w:kern w:val="0"/>
          <w:sz w:val="32"/>
          <w:szCs w:val="32"/>
          <w:lang w:eastAsia="zh-CN" w:bidi="ar"/>
          <w14:textFill>
            <w14:solidFill>
              <w14:schemeClr w14:val="tx1"/>
            </w14:solidFill>
          </w14:textFill>
        </w:rPr>
        <w:t>附件</w:t>
      </w:r>
    </w:p>
    <w:p w14:paraId="6F7AB9AD">
      <w:pPr>
        <w:pStyle w:val="4"/>
        <w:jc w:val="center"/>
        <w:rPr>
          <w:rFonts w:hint="default" w:ascii="Times New Roman" w:hAnsi="Times New Roman" w:eastAsia="方正小标宋简体" w:cs="Times New Roman"/>
          <w:color w:val="000000" w:themeColor="text1"/>
          <w:kern w:val="0"/>
          <w:sz w:val="44"/>
          <w:szCs w:val="44"/>
          <w:lang w:eastAsia="zh-CN" w:bidi="ar"/>
          <w14:textFill>
            <w14:solidFill>
              <w14:schemeClr w14:val="tx1"/>
            </w14:solidFill>
          </w14:textFill>
        </w:rPr>
      </w:pPr>
      <w:r>
        <w:rPr>
          <w:rFonts w:hint="default" w:ascii="Times New Roman" w:hAnsi="Times New Roman" w:eastAsia="方正小标宋简体" w:cs="Times New Roman"/>
          <w:color w:val="000000" w:themeColor="text1"/>
          <w:kern w:val="0"/>
          <w:sz w:val="44"/>
          <w:szCs w:val="44"/>
          <w:lang w:bidi="ar"/>
          <w14:textFill>
            <w14:solidFill>
              <w14:schemeClr w14:val="tx1"/>
            </w14:solidFill>
          </w14:textFill>
        </w:rPr>
        <w:t>四川省科学技术行政处罚裁量权基准</w:t>
      </w:r>
    </w:p>
    <w:tbl>
      <w:tblPr>
        <w:tblStyle w:val="13"/>
        <w:tblW w:w="14673" w:type="dxa"/>
        <w:tblInd w:w="-8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337"/>
        <w:gridCol w:w="3162"/>
        <w:gridCol w:w="1351"/>
        <w:gridCol w:w="3818"/>
        <w:gridCol w:w="2810"/>
        <w:gridCol w:w="1377"/>
      </w:tblGrid>
      <w:tr w14:paraId="5716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818" w:type="dxa"/>
            <w:tcBorders>
              <w:top w:val="single" w:color="auto" w:sz="4" w:space="0"/>
            </w:tcBorders>
            <w:vAlign w:val="center"/>
          </w:tcPr>
          <w:p w14:paraId="2C671B2E">
            <w:pPr>
              <w:widowControl/>
              <w:spacing w:line="279" w:lineRule="auto"/>
              <w:jc w:val="center"/>
              <w:textAlignment w:val="center"/>
              <w:rPr>
                <w:rFonts w:hint="default" w:ascii="Times New Roman" w:hAnsi="Times New Roman" w:eastAsia="黑体" w:cs="Times New Roman"/>
                <w:b w:val="0"/>
                <w:bCs w:val="0"/>
                <w:color w:val="000000" w:themeColor="text1"/>
                <w:sz w:val="28"/>
                <w:szCs w:val="28"/>
                <w14:textFill>
                  <w14:solidFill>
                    <w14:schemeClr w14:val="tx1"/>
                  </w14:solidFill>
                </w14:textFill>
              </w:rPr>
            </w:pPr>
            <w:r>
              <w:rPr>
                <w:rFonts w:hint="default" w:ascii="Times New Roman" w:hAnsi="Times New Roman" w:eastAsia="黑体" w:cs="Times New Roman"/>
                <w:b w:val="0"/>
                <w:bCs w:val="0"/>
                <w:color w:val="000000" w:themeColor="text1"/>
                <w:kern w:val="0"/>
                <w:sz w:val="28"/>
                <w:szCs w:val="28"/>
                <w:lang w:bidi="ar"/>
                <w14:textFill>
                  <w14:solidFill>
                    <w14:schemeClr w14:val="tx1"/>
                  </w14:solidFill>
                </w14:textFill>
              </w:rPr>
              <w:t>序号</w:t>
            </w:r>
          </w:p>
        </w:tc>
        <w:tc>
          <w:tcPr>
            <w:tcW w:w="1337" w:type="dxa"/>
            <w:tcBorders>
              <w:top w:val="single" w:color="auto" w:sz="4" w:space="0"/>
            </w:tcBorders>
            <w:vAlign w:val="center"/>
          </w:tcPr>
          <w:p w14:paraId="177CDD70">
            <w:pPr>
              <w:widowControl/>
              <w:spacing w:line="279" w:lineRule="auto"/>
              <w:jc w:val="center"/>
              <w:textAlignment w:val="center"/>
              <w:rPr>
                <w:rFonts w:hint="default" w:ascii="Times New Roman" w:hAnsi="Times New Roman" w:eastAsia="黑体" w:cs="Times New Roman"/>
                <w:b w:val="0"/>
                <w:bCs w:val="0"/>
                <w:color w:val="000000" w:themeColor="text1"/>
                <w:sz w:val="28"/>
                <w:szCs w:val="28"/>
                <w14:textFill>
                  <w14:solidFill>
                    <w14:schemeClr w14:val="tx1"/>
                  </w14:solidFill>
                </w14:textFill>
              </w:rPr>
            </w:pPr>
            <w:r>
              <w:rPr>
                <w:rFonts w:hint="default" w:ascii="Times New Roman" w:hAnsi="Times New Roman" w:eastAsia="黑体" w:cs="Times New Roman"/>
                <w:b w:val="0"/>
                <w:bCs w:val="0"/>
                <w:color w:val="000000" w:themeColor="text1"/>
                <w:sz w:val="28"/>
                <w:szCs w:val="28"/>
                <w14:textFill>
                  <w14:solidFill>
                    <w14:schemeClr w14:val="tx1"/>
                  </w14:solidFill>
                </w14:textFill>
              </w:rPr>
              <w:t>违法行为</w:t>
            </w:r>
          </w:p>
        </w:tc>
        <w:tc>
          <w:tcPr>
            <w:tcW w:w="3162" w:type="dxa"/>
            <w:tcBorders>
              <w:top w:val="single" w:color="auto" w:sz="4" w:space="0"/>
            </w:tcBorders>
            <w:vAlign w:val="center"/>
          </w:tcPr>
          <w:p w14:paraId="0EFD264D">
            <w:pPr>
              <w:widowControl/>
              <w:spacing w:line="279" w:lineRule="auto"/>
              <w:jc w:val="center"/>
              <w:textAlignment w:val="center"/>
              <w:rPr>
                <w:rFonts w:hint="default" w:ascii="Times New Roman" w:hAnsi="Times New Roman" w:eastAsia="黑体" w:cs="Times New Roman"/>
                <w:b w:val="0"/>
                <w:bCs w:val="0"/>
                <w:color w:val="000000" w:themeColor="text1"/>
                <w:sz w:val="28"/>
                <w:szCs w:val="28"/>
                <w14:textFill>
                  <w14:solidFill>
                    <w14:schemeClr w14:val="tx1"/>
                  </w14:solidFill>
                </w14:textFill>
              </w:rPr>
            </w:pPr>
            <w:r>
              <w:rPr>
                <w:rFonts w:hint="default" w:ascii="Times New Roman" w:hAnsi="Times New Roman" w:eastAsia="黑体" w:cs="Times New Roman"/>
                <w:b w:val="0"/>
                <w:bCs w:val="0"/>
                <w:color w:val="000000" w:themeColor="text1"/>
                <w:kern w:val="0"/>
                <w:sz w:val="28"/>
                <w:szCs w:val="28"/>
                <w:lang w:bidi="ar"/>
                <w14:textFill>
                  <w14:solidFill>
                    <w14:schemeClr w14:val="tx1"/>
                  </w14:solidFill>
                </w14:textFill>
              </w:rPr>
              <w:t>处罚依据</w:t>
            </w:r>
          </w:p>
        </w:tc>
        <w:tc>
          <w:tcPr>
            <w:tcW w:w="1351" w:type="dxa"/>
            <w:tcBorders>
              <w:top w:val="single" w:color="auto" w:sz="4" w:space="0"/>
            </w:tcBorders>
            <w:vAlign w:val="center"/>
          </w:tcPr>
          <w:p w14:paraId="6DE8DE67">
            <w:pPr>
              <w:widowControl/>
              <w:spacing w:line="279" w:lineRule="auto"/>
              <w:jc w:val="center"/>
              <w:textAlignment w:val="center"/>
              <w:rPr>
                <w:rFonts w:hint="default" w:ascii="Times New Roman" w:hAnsi="Times New Roman" w:eastAsia="黑体" w:cs="Times New Roman"/>
                <w:b w:val="0"/>
                <w:bCs w:val="0"/>
                <w:color w:val="000000" w:themeColor="text1"/>
                <w:sz w:val="28"/>
                <w:szCs w:val="28"/>
                <w14:textFill>
                  <w14:solidFill>
                    <w14:schemeClr w14:val="tx1"/>
                  </w14:solidFill>
                </w14:textFill>
              </w:rPr>
            </w:pPr>
            <w:r>
              <w:rPr>
                <w:rFonts w:hint="default" w:ascii="Times New Roman" w:hAnsi="Times New Roman" w:eastAsia="黑体" w:cs="Times New Roman"/>
                <w:b w:val="0"/>
                <w:bCs w:val="0"/>
                <w:color w:val="000000" w:themeColor="text1"/>
                <w:kern w:val="0"/>
                <w:sz w:val="28"/>
                <w:szCs w:val="28"/>
                <w:lang w:bidi="ar"/>
                <w14:textFill>
                  <w14:solidFill>
                    <w14:schemeClr w14:val="tx1"/>
                  </w14:solidFill>
                </w14:textFill>
              </w:rPr>
              <w:t>裁量阶次</w:t>
            </w:r>
          </w:p>
        </w:tc>
        <w:tc>
          <w:tcPr>
            <w:tcW w:w="3818" w:type="dxa"/>
            <w:tcBorders>
              <w:top w:val="single" w:color="auto" w:sz="4" w:space="0"/>
            </w:tcBorders>
            <w:vAlign w:val="center"/>
          </w:tcPr>
          <w:p w14:paraId="62C0AEFD">
            <w:pPr>
              <w:widowControl/>
              <w:spacing w:line="279" w:lineRule="auto"/>
              <w:jc w:val="center"/>
              <w:textAlignment w:val="center"/>
              <w:rPr>
                <w:rFonts w:hint="default" w:ascii="Times New Roman" w:hAnsi="Times New Roman" w:eastAsia="黑体" w:cs="Times New Roman"/>
                <w:b w:val="0"/>
                <w:bCs w:val="0"/>
                <w:color w:val="000000" w:themeColor="text1"/>
                <w:sz w:val="28"/>
                <w:szCs w:val="28"/>
                <w14:textFill>
                  <w14:solidFill>
                    <w14:schemeClr w14:val="tx1"/>
                  </w14:solidFill>
                </w14:textFill>
              </w:rPr>
            </w:pPr>
            <w:r>
              <w:rPr>
                <w:rFonts w:hint="default" w:ascii="Times New Roman" w:hAnsi="Times New Roman" w:eastAsia="黑体" w:cs="Times New Roman"/>
                <w:b w:val="0"/>
                <w:bCs w:val="0"/>
                <w:color w:val="000000" w:themeColor="text1"/>
                <w:sz w:val="28"/>
                <w:szCs w:val="28"/>
                <w14:textFill>
                  <w14:solidFill>
                    <w14:schemeClr w14:val="tx1"/>
                  </w14:solidFill>
                </w14:textFill>
              </w:rPr>
              <w:t>适用条件</w:t>
            </w:r>
          </w:p>
        </w:tc>
        <w:tc>
          <w:tcPr>
            <w:tcW w:w="2810" w:type="dxa"/>
            <w:tcBorders>
              <w:top w:val="single" w:color="auto" w:sz="4" w:space="0"/>
            </w:tcBorders>
            <w:vAlign w:val="center"/>
          </w:tcPr>
          <w:p w14:paraId="59DE6CA4">
            <w:pPr>
              <w:widowControl/>
              <w:spacing w:line="279" w:lineRule="auto"/>
              <w:jc w:val="center"/>
              <w:textAlignment w:val="center"/>
              <w:rPr>
                <w:rFonts w:hint="default" w:ascii="Times New Roman" w:hAnsi="Times New Roman" w:eastAsia="黑体" w:cs="Times New Roman"/>
                <w:b w:val="0"/>
                <w:bCs w:val="0"/>
                <w:color w:val="000000" w:themeColor="text1"/>
                <w:sz w:val="28"/>
                <w:szCs w:val="28"/>
                <w14:textFill>
                  <w14:solidFill>
                    <w14:schemeClr w14:val="tx1"/>
                  </w14:solidFill>
                </w14:textFill>
              </w:rPr>
            </w:pPr>
            <w:r>
              <w:rPr>
                <w:rFonts w:hint="default" w:ascii="Times New Roman" w:hAnsi="Times New Roman" w:eastAsia="黑体" w:cs="Times New Roman"/>
                <w:b w:val="0"/>
                <w:bCs w:val="0"/>
                <w:color w:val="000000" w:themeColor="text1"/>
                <w:kern w:val="0"/>
                <w:sz w:val="28"/>
                <w:szCs w:val="28"/>
                <w:lang w:bidi="ar"/>
                <w14:textFill>
                  <w14:solidFill>
                    <w14:schemeClr w14:val="tx1"/>
                  </w14:solidFill>
                </w14:textFill>
              </w:rPr>
              <w:t>处罚标准</w:t>
            </w:r>
          </w:p>
        </w:tc>
        <w:tc>
          <w:tcPr>
            <w:tcW w:w="1377" w:type="dxa"/>
            <w:tcBorders>
              <w:top w:val="single" w:color="auto" w:sz="4" w:space="0"/>
            </w:tcBorders>
            <w:vAlign w:val="center"/>
          </w:tcPr>
          <w:p w14:paraId="51FF3466">
            <w:pPr>
              <w:widowControl/>
              <w:spacing w:line="279" w:lineRule="auto"/>
              <w:jc w:val="center"/>
              <w:textAlignment w:val="center"/>
              <w:rPr>
                <w:rFonts w:hint="default" w:ascii="Times New Roman" w:hAnsi="Times New Roman" w:eastAsia="黑体" w:cs="Times New Roman"/>
                <w:b w:val="0"/>
                <w:bCs w:val="0"/>
                <w:color w:val="000000" w:themeColor="text1"/>
                <w:kern w:val="0"/>
                <w:sz w:val="28"/>
                <w:szCs w:val="28"/>
                <w:lang w:bidi="ar"/>
                <w14:textFill>
                  <w14:solidFill>
                    <w14:schemeClr w14:val="tx1"/>
                  </w14:solidFill>
                </w14:textFill>
              </w:rPr>
            </w:pPr>
            <w:r>
              <w:rPr>
                <w:rFonts w:hint="default" w:ascii="Times New Roman" w:hAnsi="Times New Roman" w:eastAsia="黑体" w:cs="Times New Roman"/>
                <w:b w:val="0"/>
                <w:bCs w:val="0"/>
                <w:color w:val="000000" w:themeColor="text1"/>
                <w:kern w:val="0"/>
                <w:sz w:val="28"/>
                <w:szCs w:val="28"/>
                <w:lang w:bidi="ar"/>
                <w14:textFill>
                  <w14:solidFill>
                    <w14:schemeClr w14:val="tx1"/>
                  </w14:solidFill>
                </w14:textFill>
              </w:rPr>
              <w:t>实施机关</w:t>
            </w:r>
          </w:p>
        </w:tc>
      </w:tr>
      <w:tr w14:paraId="55DF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4673" w:type="dxa"/>
            <w:gridSpan w:val="7"/>
            <w:vAlign w:val="center"/>
          </w:tcPr>
          <w:p w14:paraId="220BE3F8">
            <w:pPr>
              <w:widowControl/>
              <w:spacing w:line="280" w:lineRule="exact"/>
              <w:jc w:val="left"/>
              <w:textAlignment w:val="center"/>
              <w:rPr>
                <w:rFonts w:hint="default" w:ascii="Times New Roman" w:hAnsi="Times New Roman" w:eastAsia="仿宋_GB2312" w:cs="Times New Roman"/>
                <w:sz w:val="21"/>
                <w:szCs w:val="21"/>
                <w:lang w:eastAsia="zh-CN"/>
              </w:rPr>
            </w:pPr>
            <w:r>
              <w:rPr>
                <w:rFonts w:hint="eastAsia" w:ascii="楷体_GB2312" w:hAnsi="楷体_GB2312" w:eastAsia="楷体_GB2312" w:cs="楷体_GB2312"/>
                <w:b/>
                <w:bCs/>
                <w:sz w:val="21"/>
                <w:szCs w:val="21"/>
                <w:lang w:eastAsia="zh-CN"/>
              </w:rPr>
              <w:t>一、实验动物领域</w:t>
            </w:r>
          </w:p>
        </w:tc>
      </w:tr>
      <w:tr w14:paraId="4E1B0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18" w:type="dxa"/>
            <w:vMerge w:val="restart"/>
            <w:vAlign w:val="center"/>
          </w:tcPr>
          <w:p w14:paraId="6818A826">
            <w:pPr>
              <w:widowControl/>
              <w:spacing w:after="160" w:line="278" w:lineRule="auto"/>
              <w:jc w:val="center"/>
              <w:textAlignment w:val="center"/>
              <w:rPr>
                <w:rFonts w:hint="default" w:ascii="Times New Roman" w:hAnsi="Times New Roman" w:eastAsia="仿宋_GB2312" w:cs="Times New Roman"/>
                <w:color w:val="000000" w:themeColor="text1"/>
                <w:kern w:val="0"/>
                <w:sz w:val="21"/>
                <w:szCs w:val="21"/>
                <w:lang w:bidi="ar"/>
                <w14:textFill>
                  <w14:solidFill>
                    <w14:schemeClr w14:val="tx1"/>
                  </w14:solidFill>
                </w14:textFill>
              </w:rPr>
            </w:pPr>
            <w:r>
              <w:rPr>
                <w:rFonts w:hint="default" w:ascii="Times New Roman" w:hAnsi="Times New Roman" w:eastAsia="仿宋_GB2312" w:cs="Times New Roman"/>
                <w:color w:val="000000" w:themeColor="text1"/>
                <w:kern w:val="0"/>
                <w:sz w:val="21"/>
                <w:szCs w:val="21"/>
                <w:lang w:bidi="ar"/>
                <w14:textFill>
                  <w14:solidFill>
                    <w14:schemeClr w14:val="tx1"/>
                  </w14:solidFill>
                </w14:textFill>
              </w:rPr>
              <w:t>1</w:t>
            </w:r>
          </w:p>
        </w:tc>
        <w:tc>
          <w:tcPr>
            <w:tcW w:w="1337" w:type="dxa"/>
            <w:vMerge w:val="restart"/>
            <w:vAlign w:val="center"/>
          </w:tcPr>
          <w:p w14:paraId="039DE484">
            <w:pPr>
              <w:widowControl/>
              <w:spacing w:line="300" w:lineRule="exact"/>
              <w:jc w:val="left"/>
              <w:textAlignment w:val="center"/>
              <w:rPr>
                <w:rFonts w:hint="eastAsia" w:ascii="Times New Roman" w:hAnsi="Times New Roman" w:eastAsia="仿宋_GB2312" w:cs="Times New Roman"/>
                <w:color w:val="000000" w:themeColor="text1"/>
                <w:kern w:val="0"/>
                <w:sz w:val="21"/>
                <w:szCs w:val="21"/>
                <w:vertAlign w:val="superscript"/>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1"/>
                <w:szCs w:val="21"/>
                <w:lang w:bidi="ar"/>
                <w14:textFill>
                  <w14:solidFill>
                    <w14:schemeClr w14:val="tx1"/>
                  </w14:solidFill>
                </w14:textFill>
              </w:rPr>
              <w:t>使用后的实验动物流入市场</w:t>
            </w:r>
            <w:r>
              <w:rPr>
                <w:rFonts w:hint="eastAsia" w:ascii="Times New Roman" w:hAnsi="Times New Roman" w:eastAsia="仿宋_GB2312" w:cs="Times New Roman"/>
                <w:color w:val="000000" w:themeColor="text1"/>
                <w:kern w:val="0"/>
                <w:sz w:val="21"/>
                <w:szCs w:val="21"/>
                <w:vertAlign w:val="superscript"/>
                <w:lang w:val="en-US" w:eastAsia="zh-CN" w:bidi="ar"/>
                <w14:textFill>
                  <w14:solidFill>
                    <w14:schemeClr w14:val="tx1"/>
                  </w14:solidFill>
                </w14:textFill>
              </w:rPr>
              <w:t>8</w:t>
            </w:r>
          </w:p>
        </w:tc>
        <w:tc>
          <w:tcPr>
            <w:tcW w:w="3162" w:type="dxa"/>
            <w:vMerge w:val="restart"/>
            <w:vAlign w:val="center"/>
          </w:tcPr>
          <w:p w14:paraId="70E1A2CC">
            <w:pPr>
              <w:widowControl/>
              <w:spacing w:line="300" w:lineRule="exact"/>
              <w:jc w:val="left"/>
              <w:textAlignment w:val="center"/>
              <w:rPr>
                <w:rFonts w:hint="default" w:ascii="Times New Roman" w:hAnsi="Times New Roman" w:eastAsia="仿宋_GB2312" w:cs="Times New Roman"/>
                <w:color w:val="000000" w:themeColor="text1"/>
                <w:kern w:val="0"/>
                <w:sz w:val="21"/>
                <w:szCs w:val="21"/>
                <w:lang w:bidi="ar"/>
                <w14:textFill>
                  <w14:solidFill>
                    <w14:schemeClr w14:val="tx1"/>
                  </w14:solidFill>
                </w14:textFill>
              </w:rPr>
            </w:pPr>
            <w:r>
              <w:rPr>
                <w:rFonts w:hint="default" w:ascii="Times New Roman" w:hAnsi="Times New Roman" w:eastAsia="仿宋_GB2312" w:cs="Times New Roman"/>
                <w:color w:val="000000" w:themeColor="text1"/>
                <w:kern w:val="0"/>
                <w:sz w:val="21"/>
                <w:szCs w:val="21"/>
                <w:lang w:bidi="ar"/>
                <w14:textFill>
                  <w14:solidFill>
                    <w14:schemeClr w14:val="tx1"/>
                  </w14:solidFill>
                </w14:textFill>
              </w:rPr>
              <w:t>《中华人民共和国生物安全法》第七十七条：违反本法规定，将使用后的实验动物流入市场的，由县级以上人民政府科学技术主管部门责令改正，没收违法所得，并处二十万元以上一百万元以下的罚款，违法所得在二十万元以上的，并处违法所得五倍以上十倍以下的罚款；情节严重的，由发证部门吊销相关许可证件。</w:t>
            </w:r>
          </w:p>
        </w:tc>
        <w:tc>
          <w:tcPr>
            <w:tcW w:w="1351" w:type="dxa"/>
            <w:shd w:val="clear" w:color="auto" w:fill="auto"/>
            <w:vAlign w:val="center"/>
          </w:tcPr>
          <w:p w14:paraId="019F70C8">
            <w:pPr>
              <w:widowControl/>
              <w:spacing w:line="28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rPr>
              <w:t>不予</w:t>
            </w:r>
            <w:r>
              <w:rPr>
                <w:rFonts w:hint="eastAsia" w:ascii="Times New Roman" w:hAnsi="Times New Roman" w:eastAsia="仿宋_GB2312" w:cs="Times New Roman"/>
                <w:color w:val="000000" w:themeColor="text1"/>
                <w:sz w:val="21"/>
                <w:szCs w:val="21"/>
                <w:lang w:eastAsia="zh-CN"/>
                <w14:textFill>
                  <w14:solidFill>
                    <w14:schemeClr w14:val="tx1"/>
                  </w14:solidFill>
                </w14:textFill>
              </w:rPr>
              <w:t>或者</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免予处罚</w:t>
            </w:r>
          </w:p>
        </w:tc>
        <w:tc>
          <w:tcPr>
            <w:tcW w:w="3818" w:type="dxa"/>
            <w:shd w:val="clear" w:color="auto" w:fill="auto"/>
            <w:vAlign w:val="center"/>
          </w:tcPr>
          <w:p w14:paraId="27863758">
            <w:pPr>
              <w:widowControl/>
              <w:spacing w:line="280" w:lineRule="exac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同时具备以下条件：1.首次发生此类违法行为或</w:t>
            </w:r>
            <w:r>
              <w:rPr>
                <w:rFonts w:hint="default" w:ascii="Times New Roman" w:hAnsi="Times New Roman" w:eastAsia="仿宋_GB2312" w:cs="Times New Roman"/>
                <w:sz w:val="21"/>
                <w:szCs w:val="21"/>
                <w:lang w:eastAsia="zh-CN"/>
              </w:rPr>
              <w:t>者</w:t>
            </w:r>
            <w:r>
              <w:rPr>
                <w:rFonts w:hint="default" w:ascii="Times New Roman" w:hAnsi="Times New Roman" w:eastAsia="仿宋_GB2312" w:cs="Times New Roman"/>
                <w:sz w:val="21"/>
                <w:szCs w:val="21"/>
              </w:rPr>
              <w:t>非主观故意；2.</w:t>
            </w:r>
            <w:r>
              <w:rPr>
                <w:rFonts w:hint="default" w:ascii="Times New Roman" w:hAnsi="Times New Roman" w:eastAsia="仿宋_GB2312" w:cs="Times New Roman"/>
                <w:sz w:val="21"/>
                <w:szCs w:val="21"/>
                <w:lang w:eastAsia="zh-CN"/>
              </w:rPr>
              <w:t>及时改正且</w:t>
            </w:r>
            <w:r>
              <w:rPr>
                <w:rFonts w:hint="default" w:ascii="Times New Roman" w:hAnsi="Times New Roman" w:eastAsia="仿宋_GB2312" w:cs="Times New Roman"/>
                <w:sz w:val="21"/>
                <w:szCs w:val="21"/>
              </w:rPr>
              <w:t>没有造成危害后果</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3.没有违法所得</w:t>
            </w:r>
            <w:r>
              <w:rPr>
                <w:rFonts w:hint="default" w:ascii="Times New Roman" w:hAnsi="Times New Roman" w:eastAsia="仿宋_GB2312" w:cs="Times New Roman"/>
                <w:sz w:val="21"/>
                <w:szCs w:val="21"/>
              </w:rPr>
              <w:t>。</w:t>
            </w:r>
          </w:p>
        </w:tc>
        <w:tc>
          <w:tcPr>
            <w:tcW w:w="2810" w:type="dxa"/>
            <w:shd w:val="clear" w:color="auto" w:fill="auto"/>
            <w:vAlign w:val="center"/>
          </w:tcPr>
          <w:p w14:paraId="5FB27A5B">
            <w:pPr>
              <w:widowControl/>
              <w:spacing w:line="280" w:lineRule="exact"/>
              <w:jc w:val="left"/>
              <w:textAlignment w:val="center"/>
              <w:rPr>
                <w:rFonts w:hint="default" w:ascii="Times New Roman" w:hAnsi="Times New Roman" w:eastAsia="仿宋_GB2312" w:cs="Times New Roman"/>
                <w:sz w:val="21"/>
                <w:szCs w:val="21"/>
                <w:lang w:eastAsia="zh-CN"/>
              </w:rPr>
            </w:pPr>
          </w:p>
        </w:tc>
        <w:tc>
          <w:tcPr>
            <w:tcW w:w="1377" w:type="dxa"/>
            <w:shd w:val="clear" w:color="auto" w:fill="auto"/>
            <w:vAlign w:val="center"/>
          </w:tcPr>
          <w:p w14:paraId="4A0E984A">
            <w:pPr>
              <w:widowControl/>
              <w:spacing w:line="280" w:lineRule="exact"/>
              <w:jc w:val="left"/>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eastAsia="zh-CN"/>
              </w:rPr>
              <w:t>省、市（州）、县（市、区）科技行政管理</w:t>
            </w:r>
            <w:r>
              <w:rPr>
                <w:rFonts w:hint="default" w:ascii="Times New Roman" w:hAnsi="Times New Roman" w:eastAsia="仿宋_GB2312" w:cs="Times New Roman"/>
                <w:sz w:val="21"/>
                <w:szCs w:val="21"/>
              </w:rPr>
              <w:t>部门</w:t>
            </w:r>
          </w:p>
        </w:tc>
      </w:tr>
      <w:tr w14:paraId="7B90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18" w:type="dxa"/>
            <w:vMerge w:val="continue"/>
            <w:vAlign w:val="center"/>
          </w:tcPr>
          <w:p w14:paraId="743D8CC9">
            <w:pPr>
              <w:widowControl/>
              <w:spacing w:after="160" w:line="278" w:lineRule="auto"/>
              <w:jc w:val="center"/>
              <w:textAlignment w:val="center"/>
              <w:rPr>
                <w:rFonts w:hint="default" w:ascii="Times New Roman" w:hAnsi="Times New Roman" w:eastAsia="仿宋_GB2312" w:cs="Times New Roman"/>
                <w:color w:val="000000" w:themeColor="text1"/>
                <w:kern w:val="0"/>
                <w:sz w:val="21"/>
                <w:szCs w:val="21"/>
                <w:lang w:bidi="ar"/>
                <w14:textFill>
                  <w14:solidFill>
                    <w14:schemeClr w14:val="tx1"/>
                  </w14:solidFill>
                </w14:textFill>
              </w:rPr>
            </w:pPr>
          </w:p>
        </w:tc>
        <w:tc>
          <w:tcPr>
            <w:tcW w:w="1337" w:type="dxa"/>
            <w:vMerge w:val="continue"/>
            <w:vAlign w:val="center"/>
          </w:tcPr>
          <w:p w14:paraId="3D662ADB">
            <w:pPr>
              <w:widowControl/>
              <w:spacing w:line="300" w:lineRule="exact"/>
              <w:jc w:val="center"/>
              <w:textAlignment w:val="center"/>
              <w:rPr>
                <w:rFonts w:hint="default" w:ascii="Times New Roman" w:hAnsi="Times New Roman" w:eastAsia="仿宋_GB2312" w:cs="Times New Roman"/>
                <w:color w:val="000000" w:themeColor="text1"/>
                <w:kern w:val="0"/>
                <w:sz w:val="21"/>
                <w:szCs w:val="21"/>
                <w:lang w:bidi="ar"/>
                <w14:textFill>
                  <w14:solidFill>
                    <w14:schemeClr w14:val="tx1"/>
                  </w14:solidFill>
                </w14:textFill>
              </w:rPr>
            </w:pPr>
          </w:p>
        </w:tc>
        <w:tc>
          <w:tcPr>
            <w:tcW w:w="3162" w:type="dxa"/>
            <w:vMerge w:val="continue"/>
            <w:vAlign w:val="center"/>
          </w:tcPr>
          <w:p w14:paraId="49B22D5C">
            <w:pPr>
              <w:widowControl/>
              <w:spacing w:line="300" w:lineRule="exact"/>
              <w:jc w:val="center"/>
              <w:textAlignment w:val="center"/>
              <w:rPr>
                <w:rFonts w:hint="default" w:ascii="Times New Roman" w:hAnsi="Times New Roman" w:eastAsia="仿宋_GB2312" w:cs="Times New Roman"/>
                <w:color w:val="000000" w:themeColor="text1"/>
                <w:kern w:val="0"/>
                <w:sz w:val="21"/>
                <w:szCs w:val="21"/>
                <w:lang w:bidi="ar"/>
                <w14:textFill>
                  <w14:solidFill>
                    <w14:schemeClr w14:val="tx1"/>
                  </w14:solidFill>
                </w14:textFill>
              </w:rPr>
            </w:pPr>
          </w:p>
        </w:tc>
        <w:tc>
          <w:tcPr>
            <w:tcW w:w="1351" w:type="dxa"/>
            <w:shd w:val="clear" w:color="auto" w:fill="auto"/>
            <w:vAlign w:val="center"/>
          </w:tcPr>
          <w:p w14:paraId="6408817A">
            <w:pPr>
              <w:widowControl/>
              <w:spacing w:line="280" w:lineRule="exact"/>
              <w:jc w:val="lef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减轻</w:t>
            </w:r>
            <w:r>
              <w:rPr>
                <w:rFonts w:hint="eastAsia" w:ascii="Times New Roman" w:hAnsi="Times New Roman" w:eastAsia="仿宋_GB2312" w:cs="Times New Roman"/>
                <w:color w:val="000000" w:themeColor="text1"/>
                <w:sz w:val="21"/>
                <w:szCs w:val="21"/>
                <w:lang w:eastAsia="zh-CN"/>
                <w14:textFill>
                  <w14:solidFill>
                    <w14:schemeClr w14:val="tx1"/>
                  </w14:solidFill>
                </w14:textFill>
              </w:rPr>
              <w:t>或者</w:t>
            </w:r>
            <w:r>
              <w:rPr>
                <w:rFonts w:hint="default" w:ascii="Times New Roman" w:hAnsi="Times New Roman" w:eastAsia="仿宋_GB2312" w:cs="Times New Roman"/>
                <w:color w:val="000000" w:themeColor="text1"/>
                <w:sz w:val="21"/>
                <w:szCs w:val="21"/>
                <w14:textFill>
                  <w14:solidFill>
                    <w14:schemeClr w14:val="tx1"/>
                  </w14:solidFill>
                </w14:textFill>
              </w:rPr>
              <w:t>从轻</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处罚</w:t>
            </w:r>
          </w:p>
        </w:tc>
        <w:tc>
          <w:tcPr>
            <w:tcW w:w="3818" w:type="dxa"/>
            <w:shd w:val="clear" w:color="auto" w:fill="auto"/>
            <w:vAlign w:val="center"/>
          </w:tcPr>
          <w:p w14:paraId="061D4876">
            <w:pPr>
              <w:widowControl/>
              <w:spacing w:line="280" w:lineRule="exac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同时具备以下条件：1.</w:t>
            </w:r>
            <w:r>
              <w:rPr>
                <w:rFonts w:hint="default" w:ascii="Times New Roman" w:hAnsi="Times New Roman" w:eastAsia="仿宋_GB2312" w:cs="Times New Roman"/>
                <w:sz w:val="21"/>
                <w:szCs w:val="21"/>
                <w:lang w:eastAsia="zh-CN"/>
              </w:rPr>
              <w:t>及时改正且</w:t>
            </w:r>
            <w:r>
              <w:rPr>
                <w:rFonts w:hint="default" w:ascii="Times New Roman" w:hAnsi="Times New Roman" w:eastAsia="仿宋_GB2312" w:cs="Times New Roman"/>
                <w:sz w:val="21"/>
                <w:szCs w:val="21"/>
              </w:rPr>
              <w:t>没有造成危害后果</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2.</w:t>
            </w:r>
            <w:r>
              <w:rPr>
                <w:rFonts w:hint="default" w:ascii="Times New Roman" w:hAnsi="Times New Roman" w:eastAsia="仿宋_GB2312" w:cs="Times New Roman"/>
                <w:color w:val="000000" w:themeColor="text1"/>
                <w:sz w:val="21"/>
                <w:szCs w:val="21"/>
                <w14:textFill>
                  <w14:solidFill>
                    <w14:schemeClr w14:val="tx1"/>
                  </w14:solidFill>
                </w14:textFill>
              </w:rPr>
              <w:t>违法所得</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在</w:t>
            </w:r>
            <w:r>
              <w:rPr>
                <w:rFonts w:hint="default" w:ascii="Times New Roman" w:hAnsi="Times New Roman" w:eastAsia="仿宋_GB2312" w:cs="Times New Roman"/>
                <w:color w:val="000000" w:themeColor="text1"/>
                <w:sz w:val="21"/>
                <w:szCs w:val="21"/>
                <w14:textFill>
                  <w14:solidFill>
                    <w14:schemeClr w14:val="tx1"/>
                  </w14:solidFill>
                </w14:textFill>
              </w:rPr>
              <w:t>二十万元</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以下</w:t>
            </w:r>
            <w:r>
              <w:rPr>
                <w:rFonts w:hint="default" w:ascii="Times New Roman" w:hAnsi="Times New Roman" w:eastAsia="仿宋_GB2312" w:cs="Times New Roman"/>
                <w:color w:val="000000" w:themeColor="text1"/>
                <w:sz w:val="21"/>
                <w:szCs w:val="21"/>
                <w14:textFill>
                  <w14:solidFill>
                    <w14:schemeClr w14:val="tx1"/>
                  </w14:solidFill>
                </w14:textFill>
              </w:rPr>
              <w:t>。</w:t>
            </w:r>
          </w:p>
        </w:tc>
        <w:tc>
          <w:tcPr>
            <w:tcW w:w="2810" w:type="dxa"/>
            <w:shd w:val="clear" w:color="auto" w:fill="auto"/>
            <w:vAlign w:val="center"/>
          </w:tcPr>
          <w:p w14:paraId="524643E8">
            <w:pPr>
              <w:widowControl/>
              <w:spacing w:line="280" w:lineRule="exact"/>
              <w:jc w:val="lef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没收违法所得，</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并处二十万元以上</w:t>
            </w:r>
            <w:r>
              <w:rPr>
                <w:rFonts w:hint="default" w:ascii="Times New Roman" w:hAnsi="Times New Roman" w:eastAsia="仿宋_GB2312" w:cs="Times New Roman"/>
                <w:color w:val="000000" w:themeColor="text1"/>
                <w:sz w:val="21"/>
                <w:szCs w:val="21"/>
                <w14:textFill>
                  <w14:solidFill>
                    <w14:schemeClr w14:val="tx1"/>
                  </w14:solidFill>
                </w14:textFill>
              </w:rPr>
              <w:t>五十万元以下的罚款</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w:t>
            </w:r>
          </w:p>
        </w:tc>
        <w:tc>
          <w:tcPr>
            <w:tcW w:w="1377" w:type="dxa"/>
            <w:shd w:val="clear" w:color="auto" w:fill="auto"/>
            <w:vAlign w:val="center"/>
          </w:tcPr>
          <w:p w14:paraId="172083A1">
            <w:pPr>
              <w:widowControl/>
              <w:spacing w:line="28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sz w:val="21"/>
                <w:szCs w:val="21"/>
                <w:lang w:eastAsia="zh-CN"/>
              </w:rPr>
              <w:t>省、市（州）、县（市、区）科技行政管理</w:t>
            </w:r>
            <w:r>
              <w:rPr>
                <w:rFonts w:hint="default" w:ascii="Times New Roman" w:hAnsi="Times New Roman" w:eastAsia="仿宋_GB2312" w:cs="Times New Roman"/>
                <w:sz w:val="21"/>
                <w:szCs w:val="21"/>
              </w:rPr>
              <w:t>部门</w:t>
            </w:r>
          </w:p>
        </w:tc>
      </w:tr>
      <w:tr w14:paraId="24104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18" w:type="dxa"/>
            <w:vMerge w:val="continue"/>
            <w:vAlign w:val="center"/>
          </w:tcPr>
          <w:p w14:paraId="0A7BDEC3">
            <w:pPr>
              <w:widowControl/>
              <w:spacing w:after="160" w:line="278" w:lineRule="auto"/>
              <w:jc w:val="center"/>
              <w:textAlignment w:val="center"/>
              <w:rPr>
                <w:rFonts w:hint="default" w:ascii="Times New Roman" w:hAnsi="Times New Roman" w:eastAsia="仿宋_GB2312" w:cs="Times New Roman"/>
                <w:color w:val="000000" w:themeColor="text1"/>
                <w:kern w:val="0"/>
                <w:sz w:val="21"/>
                <w:szCs w:val="21"/>
                <w:lang w:bidi="ar"/>
                <w14:textFill>
                  <w14:solidFill>
                    <w14:schemeClr w14:val="tx1"/>
                  </w14:solidFill>
                </w14:textFill>
              </w:rPr>
            </w:pPr>
          </w:p>
        </w:tc>
        <w:tc>
          <w:tcPr>
            <w:tcW w:w="1337" w:type="dxa"/>
            <w:vMerge w:val="continue"/>
            <w:vAlign w:val="center"/>
          </w:tcPr>
          <w:p w14:paraId="68892AD3">
            <w:pPr>
              <w:widowControl/>
              <w:spacing w:line="300" w:lineRule="exact"/>
              <w:jc w:val="center"/>
              <w:textAlignment w:val="center"/>
              <w:rPr>
                <w:rFonts w:hint="default" w:ascii="Times New Roman" w:hAnsi="Times New Roman" w:eastAsia="仿宋_GB2312" w:cs="Times New Roman"/>
                <w:color w:val="000000" w:themeColor="text1"/>
                <w:kern w:val="0"/>
                <w:sz w:val="21"/>
                <w:szCs w:val="21"/>
                <w:lang w:bidi="ar"/>
                <w14:textFill>
                  <w14:solidFill>
                    <w14:schemeClr w14:val="tx1"/>
                  </w14:solidFill>
                </w14:textFill>
              </w:rPr>
            </w:pPr>
          </w:p>
        </w:tc>
        <w:tc>
          <w:tcPr>
            <w:tcW w:w="3162" w:type="dxa"/>
            <w:vMerge w:val="continue"/>
            <w:vAlign w:val="center"/>
          </w:tcPr>
          <w:p w14:paraId="53A8F61D">
            <w:pPr>
              <w:widowControl/>
              <w:spacing w:line="300" w:lineRule="exact"/>
              <w:jc w:val="center"/>
              <w:textAlignment w:val="center"/>
              <w:rPr>
                <w:rFonts w:hint="default" w:ascii="Times New Roman" w:hAnsi="Times New Roman" w:eastAsia="仿宋_GB2312" w:cs="Times New Roman"/>
                <w:color w:val="000000" w:themeColor="text1"/>
                <w:kern w:val="0"/>
                <w:sz w:val="21"/>
                <w:szCs w:val="21"/>
                <w:lang w:bidi="ar"/>
                <w14:textFill>
                  <w14:solidFill>
                    <w14:schemeClr w14:val="tx1"/>
                  </w14:solidFill>
                </w14:textFill>
              </w:rPr>
            </w:pPr>
          </w:p>
        </w:tc>
        <w:tc>
          <w:tcPr>
            <w:tcW w:w="1351" w:type="dxa"/>
            <w:vMerge w:val="restart"/>
            <w:vAlign w:val="center"/>
          </w:tcPr>
          <w:p w14:paraId="16FE1156">
            <w:pPr>
              <w:widowControl/>
              <w:spacing w:line="28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一般处罚</w:t>
            </w:r>
          </w:p>
        </w:tc>
        <w:tc>
          <w:tcPr>
            <w:tcW w:w="3818" w:type="dxa"/>
            <w:shd w:val="clear" w:color="auto" w:fill="auto"/>
            <w:vAlign w:val="center"/>
          </w:tcPr>
          <w:p w14:paraId="1304BBA1">
            <w:pPr>
              <w:widowControl/>
              <w:spacing w:line="280" w:lineRule="exac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同时具备以下条件：1.</w:t>
            </w:r>
            <w:r>
              <w:rPr>
                <w:rFonts w:hint="default" w:ascii="Times New Roman" w:hAnsi="Times New Roman" w:eastAsia="仿宋_GB2312" w:cs="Times New Roman"/>
                <w:sz w:val="21"/>
                <w:szCs w:val="21"/>
              </w:rPr>
              <w:t>没有造成危害后果</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2.</w:t>
            </w:r>
            <w:r>
              <w:rPr>
                <w:rFonts w:hint="default" w:ascii="Times New Roman" w:hAnsi="Times New Roman" w:eastAsia="仿宋_GB2312" w:cs="Times New Roman"/>
                <w:color w:val="000000" w:themeColor="text1"/>
                <w:sz w:val="21"/>
                <w:szCs w:val="21"/>
                <w14:textFill>
                  <w14:solidFill>
                    <w14:schemeClr w14:val="tx1"/>
                  </w14:solidFill>
                </w14:textFill>
              </w:rPr>
              <w:t>违法所得</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在</w:t>
            </w:r>
            <w:r>
              <w:rPr>
                <w:rFonts w:hint="default" w:ascii="Times New Roman" w:hAnsi="Times New Roman" w:eastAsia="仿宋_GB2312" w:cs="Times New Roman"/>
                <w:color w:val="000000" w:themeColor="text1"/>
                <w:sz w:val="21"/>
                <w:szCs w:val="21"/>
                <w14:textFill>
                  <w14:solidFill>
                    <w14:schemeClr w14:val="tx1"/>
                  </w14:solidFill>
                </w14:textFill>
              </w:rPr>
              <w:t>二十万元</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以下</w:t>
            </w:r>
            <w:r>
              <w:rPr>
                <w:rFonts w:hint="default" w:ascii="Times New Roman" w:hAnsi="Times New Roman" w:eastAsia="仿宋_GB2312" w:cs="Times New Roman"/>
                <w:color w:val="000000" w:themeColor="text1"/>
                <w:sz w:val="21"/>
                <w:szCs w:val="21"/>
                <w14:textFill>
                  <w14:solidFill>
                    <w14:schemeClr w14:val="tx1"/>
                  </w14:solidFill>
                </w14:textFill>
              </w:rPr>
              <w:t>。</w:t>
            </w:r>
          </w:p>
        </w:tc>
        <w:tc>
          <w:tcPr>
            <w:tcW w:w="2810" w:type="dxa"/>
            <w:shd w:val="clear" w:color="auto" w:fill="auto"/>
            <w:vAlign w:val="center"/>
          </w:tcPr>
          <w:p w14:paraId="370AD8BC">
            <w:pPr>
              <w:widowControl/>
              <w:spacing w:line="28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责令改正，没收违法所得，</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并处五十万元以上一百</w:t>
            </w:r>
            <w:r>
              <w:rPr>
                <w:rFonts w:hint="default" w:ascii="Times New Roman" w:hAnsi="Times New Roman" w:eastAsia="仿宋_GB2312" w:cs="Times New Roman"/>
                <w:color w:val="000000" w:themeColor="text1"/>
                <w:sz w:val="21"/>
                <w:szCs w:val="21"/>
                <w14:textFill>
                  <w14:solidFill>
                    <w14:schemeClr w14:val="tx1"/>
                  </w14:solidFill>
                </w14:textFill>
              </w:rPr>
              <w:t>万元以下的罚款</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w:t>
            </w:r>
          </w:p>
        </w:tc>
        <w:tc>
          <w:tcPr>
            <w:tcW w:w="1377" w:type="dxa"/>
            <w:vMerge w:val="restart"/>
            <w:shd w:val="clear" w:color="auto" w:fill="auto"/>
            <w:vAlign w:val="center"/>
          </w:tcPr>
          <w:p w14:paraId="5C740602">
            <w:pPr>
              <w:widowControl/>
              <w:spacing w:line="28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sz w:val="21"/>
                <w:szCs w:val="21"/>
                <w:lang w:eastAsia="zh-CN"/>
              </w:rPr>
              <w:t>省、市（州）、县（市、区）科技行政管理</w:t>
            </w:r>
            <w:r>
              <w:rPr>
                <w:rFonts w:hint="default" w:ascii="Times New Roman" w:hAnsi="Times New Roman" w:eastAsia="仿宋_GB2312" w:cs="Times New Roman"/>
                <w:sz w:val="21"/>
                <w:szCs w:val="21"/>
              </w:rPr>
              <w:t>部门</w:t>
            </w:r>
          </w:p>
        </w:tc>
      </w:tr>
      <w:tr w14:paraId="19C3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18" w:type="dxa"/>
            <w:vMerge w:val="continue"/>
            <w:vAlign w:val="center"/>
          </w:tcPr>
          <w:p w14:paraId="5BAD63C2">
            <w:pPr>
              <w:widowControl/>
              <w:spacing w:line="280" w:lineRule="exact"/>
              <w:textAlignment w:val="center"/>
              <w:rPr>
                <w:rFonts w:hint="default" w:ascii="Times New Roman" w:hAnsi="Times New Roman" w:eastAsia="仿宋_GB2312" w:cs="Times New Roman"/>
              </w:rPr>
            </w:pPr>
          </w:p>
        </w:tc>
        <w:tc>
          <w:tcPr>
            <w:tcW w:w="1337" w:type="dxa"/>
            <w:vMerge w:val="continue"/>
            <w:vAlign w:val="center"/>
          </w:tcPr>
          <w:p w14:paraId="457399D8">
            <w:pPr>
              <w:widowControl/>
              <w:spacing w:line="280" w:lineRule="exact"/>
              <w:textAlignment w:val="center"/>
              <w:rPr>
                <w:rFonts w:hint="default" w:ascii="Times New Roman" w:hAnsi="Times New Roman" w:eastAsia="仿宋_GB2312" w:cs="Times New Roman"/>
              </w:rPr>
            </w:pPr>
          </w:p>
        </w:tc>
        <w:tc>
          <w:tcPr>
            <w:tcW w:w="3162" w:type="dxa"/>
            <w:vMerge w:val="continue"/>
            <w:vAlign w:val="center"/>
          </w:tcPr>
          <w:p w14:paraId="45F8D908">
            <w:pPr>
              <w:widowControl/>
              <w:spacing w:line="280" w:lineRule="exact"/>
              <w:textAlignment w:val="center"/>
              <w:rPr>
                <w:rFonts w:hint="default" w:ascii="Times New Roman" w:hAnsi="Times New Roman" w:eastAsia="仿宋_GB2312" w:cs="Times New Roman"/>
              </w:rPr>
            </w:pPr>
          </w:p>
        </w:tc>
        <w:tc>
          <w:tcPr>
            <w:tcW w:w="1351" w:type="dxa"/>
            <w:vMerge w:val="continue"/>
            <w:vAlign w:val="center"/>
          </w:tcPr>
          <w:p w14:paraId="0EF181F5">
            <w:pPr>
              <w:widowControl/>
              <w:spacing w:line="280" w:lineRule="exact"/>
              <w:jc w:val="left"/>
              <w:textAlignment w:val="center"/>
              <w:rPr>
                <w:rFonts w:hint="default" w:ascii="Times New Roman" w:hAnsi="Times New Roman" w:eastAsia="仿宋_GB2312" w:cs="Times New Roman"/>
              </w:rPr>
            </w:pPr>
          </w:p>
        </w:tc>
        <w:tc>
          <w:tcPr>
            <w:tcW w:w="3818" w:type="dxa"/>
            <w:shd w:val="clear" w:color="auto" w:fill="auto"/>
            <w:vAlign w:val="center"/>
          </w:tcPr>
          <w:p w14:paraId="1BFDD743">
            <w:pPr>
              <w:widowControl/>
              <w:spacing w:line="280" w:lineRule="exac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同时具备以下条件：1.</w:t>
            </w:r>
            <w:r>
              <w:rPr>
                <w:rFonts w:hint="default" w:ascii="Times New Roman" w:hAnsi="Times New Roman" w:eastAsia="仿宋_GB2312" w:cs="Times New Roman"/>
                <w:sz w:val="21"/>
                <w:szCs w:val="21"/>
              </w:rPr>
              <w:t>没有造成危害后果</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2.</w:t>
            </w:r>
            <w:r>
              <w:rPr>
                <w:rFonts w:hint="default" w:ascii="Times New Roman" w:hAnsi="Times New Roman" w:eastAsia="仿宋_GB2312" w:cs="Times New Roman"/>
                <w:color w:val="000000" w:themeColor="text1"/>
                <w:sz w:val="21"/>
                <w:szCs w:val="21"/>
                <w14:textFill>
                  <w14:solidFill>
                    <w14:schemeClr w14:val="tx1"/>
                  </w14:solidFill>
                </w14:textFill>
              </w:rPr>
              <w:t>违法所得</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在</w:t>
            </w:r>
            <w:r>
              <w:rPr>
                <w:rFonts w:hint="default" w:ascii="Times New Roman" w:hAnsi="Times New Roman" w:eastAsia="仿宋_GB2312" w:cs="Times New Roman"/>
                <w:color w:val="000000" w:themeColor="text1"/>
                <w:sz w:val="21"/>
                <w:szCs w:val="21"/>
                <w14:textFill>
                  <w14:solidFill>
                    <w14:schemeClr w14:val="tx1"/>
                  </w14:solidFill>
                </w14:textFill>
              </w:rPr>
              <w:t>二十万元</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以上五十万元以下</w:t>
            </w:r>
            <w:r>
              <w:rPr>
                <w:rFonts w:hint="default" w:ascii="Times New Roman" w:hAnsi="Times New Roman" w:eastAsia="仿宋_GB2312" w:cs="Times New Roman"/>
                <w:color w:val="000000" w:themeColor="text1"/>
                <w:sz w:val="21"/>
                <w:szCs w:val="21"/>
                <w14:textFill>
                  <w14:solidFill>
                    <w14:schemeClr w14:val="tx1"/>
                  </w14:solidFill>
                </w14:textFill>
              </w:rPr>
              <w:t>。</w:t>
            </w:r>
          </w:p>
        </w:tc>
        <w:tc>
          <w:tcPr>
            <w:tcW w:w="2810" w:type="dxa"/>
            <w:shd w:val="clear" w:color="auto" w:fill="auto"/>
            <w:vAlign w:val="center"/>
          </w:tcPr>
          <w:p w14:paraId="1D87C581">
            <w:pPr>
              <w:widowControl/>
              <w:spacing w:line="280" w:lineRule="exact"/>
              <w:jc w:val="lef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责令改正，没收违法所得，并处违法所得五倍以上七倍</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以下</w:t>
            </w:r>
            <w:r>
              <w:rPr>
                <w:rFonts w:hint="default" w:ascii="Times New Roman" w:hAnsi="Times New Roman" w:eastAsia="仿宋_GB2312" w:cs="Times New Roman"/>
                <w:color w:val="000000" w:themeColor="text1"/>
                <w:sz w:val="21"/>
                <w:szCs w:val="21"/>
                <w14:textFill>
                  <w14:solidFill>
                    <w14:schemeClr w14:val="tx1"/>
                  </w14:solidFill>
                </w14:textFill>
              </w:rPr>
              <w:t>的罚款</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w:t>
            </w:r>
          </w:p>
        </w:tc>
        <w:tc>
          <w:tcPr>
            <w:tcW w:w="1377" w:type="dxa"/>
            <w:vMerge w:val="continue"/>
            <w:shd w:val="clear" w:color="auto" w:fill="auto"/>
            <w:vAlign w:val="center"/>
          </w:tcPr>
          <w:p w14:paraId="58206C91">
            <w:pPr>
              <w:widowControl/>
              <w:spacing w:line="28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p>
        </w:tc>
      </w:tr>
      <w:tr w14:paraId="7A55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18" w:type="dxa"/>
            <w:vMerge w:val="continue"/>
            <w:vAlign w:val="center"/>
          </w:tcPr>
          <w:p w14:paraId="477B183E">
            <w:pPr>
              <w:widowControl/>
              <w:spacing w:line="280" w:lineRule="exact"/>
              <w:textAlignment w:val="center"/>
              <w:rPr>
                <w:rFonts w:hint="default" w:ascii="Times New Roman" w:hAnsi="Times New Roman" w:eastAsia="仿宋_GB2312" w:cs="Times New Roman"/>
              </w:rPr>
            </w:pPr>
          </w:p>
        </w:tc>
        <w:tc>
          <w:tcPr>
            <w:tcW w:w="1337" w:type="dxa"/>
            <w:vMerge w:val="continue"/>
            <w:vAlign w:val="center"/>
          </w:tcPr>
          <w:p w14:paraId="3EEBD67D">
            <w:pPr>
              <w:widowControl/>
              <w:spacing w:line="280" w:lineRule="exact"/>
              <w:textAlignment w:val="center"/>
              <w:rPr>
                <w:rFonts w:hint="default" w:ascii="Times New Roman" w:hAnsi="Times New Roman" w:eastAsia="仿宋_GB2312" w:cs="Times New Roman"/>
              </w:rPr>
            </w:pPr>
          </w:p>
        </w:tc>
        <w:tc>
          <w:tcPr>
            <w:tcW w:w="3162" w:type="dxa"/>
            <w:vMerge w:val="continue"/>
            <w:vAlign w:val="center"/>
          </w:tcPr>
          <w:p w14:paraId="576B2049">
            <w:pPr>
              <w:widowControl/>
              <w:spacing w:line="280" w:lineRule="exact"/>
              <w:textAlignment w:val="center"/>
              <w:rPr>
                <w:rFonts w:hint="default" w:ascii="Times New Roman" w:hAnsi="Times New Roman" w:eastAsia="仿宋_GB2312" w:cs="Times New Roman"/>
              </w:rPr>
            </w:pPr>
          </w:p>
        </w:tc>
        <w:tc>
          <w:tcPr>
            <w:tcW w:w="1351" w:type="dxa"/>
            <w:vMerge w:val="continue"/>
            <w:vAlign w:val="center"/>
          </w:tcPr>
          <w:p w14:paraId="1438DF1B">
            <w:pPr>
              <w:widowControl/>
              <w:spacing w:line="280" w:lineRule="exact"/>
              <w:jc w:val="left"/>
              <w:textAlignment w:val="center"/>
              <w:rPr>
                <w:rFonts w:hint="default" w:ascii="Times New Roman" w:hAnsi="Times New Roman" w:eastAsia="仿宋_GB2312" w:cs="Times New Roman"/>
              </w:rPr>
            </w:pPr>
          </w:p>
        </w:tc>
        <w:tc>
          <w:tcPr>
            <w:tcW w:w="3818" w:type="dxa"/>
            <w:shd w:val="clear" w:color="auto" w:fill="auto"/>
            <w:vAlign w:val="center"/>
          </w:tcPr>
          <w:p w14:paraId="68B5FA96">
            <w:pPr>
              <w:widowControl/>
              <w:spacing w:line="280" w:lineRule="exac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同时具备以下条件：1.</w:t>
            </w:r>
            <w:r>
              <w:rPr>
                <w:rFonts w:hint="default" w:ascii="Times New Roman" w:hAnsi="Times New Roman" w:eastAsia="仿宋_GB2312" w:cs="Times New Roman"/>
                <w:sz w:val="21"/>
                <w:szCs w:val="21"/>
              </w:rPr>
              <w:t>没有造成危害后果</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2.</w:t>
            </w:r>
            <w:r>
              <w:rPr>
                <w:rFonts w:hint="default" w:ascii="Times New Roman" w:hAnsi="Times New Roman" w:eastAsia="仿宋_GB2312" w:cs="Times New Roman"/>
                <w:color w:val="000000" w:themeColor="text1"/>
                <w:sz w:val="21"/>
                <w:szCs w:val="21"/>
                <w14:textFill>
                  <w14:solidFill>
                    <w14:schemeClr w14:val="tx1"/>
                  </w14:solidFill>
                </w14:textFill>
              </w:rPr>
              <w:t>违法所得</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在五</w:t>
            </w:r>
            <w:r>
              <w:rPr>
                <w:rFonts w:hint="default" w:ascii="Times New Roman" w:hAnsi="Times New Roman" w:eastAsia="仿宋_GB2312" w:cs="Times New Roman"/>
                <w:color w:val="000000" w:themeColor="text1"/>
                <w:sz w:val="21"/>
                <w:szCs w:val="21"/>
                <w14:textFill>
                  <w14:solidFill>
                    <w14:schemeClr w14:val="tx1"/>
                  </w14:solidFill>
                </w14:textFill>
              </w:rPr>
              <w:t>十万元</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以上</w:t>
            </w:r>
            <w:r>
              <w:rPr>
                <w:rFonts w:hint="default" w:ascii="Times New Roman" w:hAnsi="Times New Roman" w:eastAsia="仿宋_GB2312" w:cs="Times New Roman"/>
                <w:color w:val="000000" w:themeColor="text1"/>
                <w:sz w:val="21"/>
                <w:szCs w:val="21"/>
                <w14:textFill>
                  <w14:solidFill>
                    <w14:schemeClr w14:val="tx1"/>
                  </w14:solidFill>
                </w14:textFill>
              </w:rPr>
              <w:t>。</w:t>
            </w:r>
          </w:p>
        </w:tc>
        <w:tc>
          <w:tcPr>
            <w:tcW w:w="2810" w:type="dxa"/>
            <w:shd w:val="clear" w:color="auto" w:fill="auto"/>
            <w:vAlign w:val="center"/>
          </w:tcPr>
          <w:p w14:paraId="56125845">
            <w:pPr>
              <w:widowControl/>
              <w:spacing w:line="28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责令改正，没收违法所得，并处违法所得</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七</w:t>
            </w:r>
            <w:r>
              <w:rPr>
                <w:rFonts w:hint="default" w:ascii="Times New Roman" w:hAnsi="Times New Roman" w:eastAsia="仿宋_GB2312" w:cs="Times New Roman"/>
                <w:color w:val="000000" w:themeColor="text1"/>
                <w:sz w:val="21"/>
                <w:szCs w:val="21"/>
                <w14:textFill>
                  <w14:solidFill>
                    <w14:schemeClr w14:val="tx1"/>
                  </w14:solidFill>
                </w14:textFill>
              </w:rPr>
              <w:t>倍以上</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十</w:t>
            </w:r>
            <w:r>
              <w:rPr>
                <w:rFonts w:hint="default" w:ascii="Times New Roman" w:hAnsi="Times New Roman" w:eastAsia="仿宋_GB2312" w:cs="Times New Roman"/>
                <w:color w:val="000000" w:themeColor="text1"/>
                <w:sz w:val="21"/>
                <w:szCs w:val="21"/>
                <w14:textFill>
                  <w14:solidFill>
                    <w14:schemeClr w14:val="tx1"/>
                  </w14:solidFill>
                </w14:textFill>
              </w:rPr>
              <w:t>倍</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以下</w:t>
            </w:r>
            <w:r>
              <w:rPr>
                <w:rFonts w:hint="default" w:ascii="Times New Roman" w:hAnsi="Times New Roman" w:eastAsia="仿宋_GB2312" w:cs="Times New Roman"/>
                <w:color w:val="000000" w:themeColor="text1"/>
                <w:sz w:val="21"/>
                <w:szCs w:val="21"/>
                <w14:textFill>
                  <w14:solidFill>
                    <w14:schemeClr w14:val="tx1"/>
                  </w14:solidFill>
                </w14:textFill>
              </w:rPr>
              <w:t>的罚款</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w:t>
            </w:r>
          </w:p>
        </w:tc>
        <w:tc>
          <w:tcPr>
            <w:tcW w:w="1377" w:type="dxa"/>
            <w:vMerge w:val="continue"/>
            <w:shd w:val="clear" w:color="auto" w:fill="auto"/>
            <w:vAlign w:val="center"/>
          </w:tcPr>
          <w:p w14:paraId="4332A51F">
            <w:pPr>
              <w:widowControl/>
              <w:spacing w:line="28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p>
        </w:tc>
      </w:tr>
      <w:tr w14:paraId="6042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18" w:type="dxa"/>
            <w:vMerge w:val="continue"/>
            <w:vAlign w:val="center"/>
          </w:tcPr>
          <w:p w14:paraId="1B93C76F">
            <w:pPr>
              <w:widowControl/>
              <w:spacing w:after="160" w:line="278" w:lineRule="auto"/>
              <w:jc w:val="center"/>
              <w:textAlignment w:val="center"/>
              <w:rPr>
                <w:rFonts w:hint="default" w:ascii="Times New Roman" w:hAnsi="Times New Roman" w:eastAsia="仿宋_GB2312" w:cs="Times New Roman"/>
                <w:color w:val="000000" w:themeColor="text1"/>
                <w:kern w:val="0"/>
                <w:sz w:val="21"/>
                <w:szCs w:val="21"/>
                <w:lang w:bidi="ar"/>
                <w14:textFill>
                  <w14:solidFill>
                    <w14:schemeClr w14:val="tx1"/>
                  </w14:solidFill>
                </w14:textFill>
              </w:rPr>
            </w:pPr>
          </w:p>
        </w:tc>
        <w:tc>
          <w:tcPr>
            <w:tcW w:w="1337" w:type="dxa"/>
            <w:vMerge w:val="continue"/>
            <w:vAlign w:val="center"/>
          </w:tcPr>
          <w:p w14:paraId="078A9C79">
            <w:pPr>
              <w:widowControl/>
              <w:spacing w:line="300" w:lineRule="exact"/>
              <w:jc w:val="center"/>
              <w:textAlignment w:val="center"/>
              <w:rPr>
                <w:rFonts w:hint="default" w:ascii="Times New Roman" w:hAnsi="Times New Roman" w:eastAsia="仿宋_GB2312" w:cs="Times New Roman"/>
                <w:color w:val="000000" w:themeColor="text1"/>
                <w:kern w:val="0"/>
                <w:sz w:val="21"/>
                <w:szCs w:val="21"/>
                <w:lang w:bidi="ar"/>
                <w14:textFill>
                  <w14:solidFill>
                    <w14:schemeClr w14:val="tx1"/>
                  </w14:solidFill>
                </w14:textFill>
              </w:rPr>
            </w:pPr>
          </w:p>
        </w:tc>
        <w:tc>
          <w:tcPr>
            <w:tcW w:w="3162" w:type="dxa"/>
            <w:vMerge w:val="continue"/>
            <w:vAlign w:val="center"/>
          </w:tcPr>
          <w:p w14:paraId="0FE9B968">
            <w:pPr>
              <w:widowControl/>
              <w:spacing w:line="300" w:lineRule="exact"/>
              <w:jc w:val="center"/>
              <w:textAlignment w:val="center"/>
              <w:rPr>
                <w:rFonts w:hint="default" w:ascii="Times New Roman" w:hAnsi="Times New Roman" w:eastAsia="仿宋_GB2312" w:cs="Times New Roman"/>
                <w:color w:val="000000" w:themeColor="text1"/>
                <w:kern w:val="0"/>
                <w:sz w:val="21"/>
                <w:szCs w:val="21"/>
                <w:lang w:bidi="ar"/>
                <w14:textFill>
                  <w14:solidFill>
                    <w14:schemeClr w14:val="tx1"/>
                  </w14:solidFill>
                </w14:textFill>
              </w:rPr>
            </w:pPr>
          </w:p>
        </w:tc>
        <w:tc>
          <w:tcPr>
            <w:tcW w:w="1351" w:type="dxa"/>
            <w:vMerge w:val="restart"/>
            <w:vAlign w:val="center"/>
          </w:tcPr>
          <w:p w14:paraId="01005E2E">
            <w:pPr>
              <w:widowControl/>
              <w:spacing w:line="280" w:lineRule="exact"/>
              <w:jc w:val="lef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从重</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处罚</w:t>
            </w:r>
          </w:p>
        </w:tc>
        <w:tc>
          <w:tcPr>
            <w:tcW w:w="3818" w:type="dxa"/>
            <w:vMerge w:val="restart"/>
            <w:vAlign w:val="center"/>
          </w:tcPr>
          <w:p w14:paraId="4AA661AD">
            <w:pPr>
              <w:widowControl/>
              <w:spacing w:line="280" w:lineRule="exac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因流入市场的实验动物导致出现疫情、传染性疾病等严重后果。</w:t>
            </w:r>
          </w:p>
        </w:tc>
        <w:tc>
          <w:tcPr>
            <w:tcW w:w="2810" w:type="dxa"/>
            <w:vAlign w:val="center"/>
          </w:tcPr>
          <w:p w14:paraId="7562F253">
            <w:pPr>
              <w:widowControl/>
              <w:spacing w:line="280" w:lineRule="exact"/>
              <w:jc w:val="lef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没收</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违法</w:t>
            </w:r>
            <w:r>
              <w:rPr>
                <w:rFonts w:hint="default" w:ascii="Times New Roman" w:hAnsi="Times New Roman" w:eastAsia="仿宋_GB2312" w:cs="Times New Roman"/>
                <w:color w:val="000000" w:themeColor="text1"/>
                <w:sz w:val="21"/>
                <w:szCs w:val="21"/>
                <w14:textFill>
                  <w14:solidFill>
                    <w14:schemeClr w14:val="tx1"/>
                  </w14:solidFill>
                </w14:textFill>
              </w:rPr>
              <w:t>所得</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w:t>
            </w:r>
          </w:p>
        </w:tc>
        <w:tc>
          <w:tcPr>
            <w:tcW w:w="1377" w:type="dxa"/>
            <w:vAlign w:val="center"/>
          </w:tcPr>
          <w:p w14:paraId="1D0F20AF">
            <w:pPr>
              <w:widowControl/>
              <w:spacing w:line="28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sz w:val="21"/>
                <w:szCs w:val="21"/>
                <w:lang w:eastAsia="zh-CN"/>
              </w:rPr>
              <w:t>省、市（州）、县（市、区）科技行政管理</w:t>
            </w:r>
            <w:r>
              <w:rPr>
                <w:rFonts w:hint="default" w:ascii="Times New Roman" w:hAnsi="Times New Roman" w:eastAsia="仿宋_GB2312" w:cs="Times New Roman"/>
                <w:sz w:val="21"/>
                <w:szCs w:val="21"/>
              </w:rPr>
              <w:t>部门</w:t>
            </w:r>
          </w:p>
        </w:tc>
      </w:tr>
      <w:tr w14:paraId="7B155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8" w:type="dxa"/>
            <w:vMerge w:val="continue"/>
            <w:vAlign w:val="center"/>
          </w:tcPr>
          <w:p w14:paraId="59E887F9">
            <w:pPr>
              <w:widowControl/>
              <w:spacing w:line="280" w:lineRule="exact"/>
              <w:jc w:val="center"/>
              <w:textAlignment w:val="center"/>
              <w:rPr>
                <w:rFonts w:hint="default" w:ascii="Times New Roman" w:hAnsi="Times New Roman" w:eastAsia="仿宋_GB2312" w:cs="Times New Roman"/>
              </w:rPr>
            </w:pPr>
          </w:p>
        </w:tc>
        <w:tc>
          <w:tcPr>
            <w:tcW w:w="1337" w:type="dxa"/>
            <w:vMerge w:val="continue"/>
            <w:vAlign w:val="center"/>
          </w:tcPr>
          <w:p w14:paraId="0572387A">
            <w:pPr>
              <w:widowControl/>
              <w:spacing w:line="280" w:lineRule="exact"/>
              <w:jc w:val="center"/>
              <w:textAlignment w:val="center"/>
              <w:rPr>
                <w:rFonts w:hint="default" w:ascii="Times New Roman" w:hAnsi="Times New Roman" w:eastAsia="仿宋_GB2312" w:cs="Times New Roman"/>
              </w:rPr>
            </w:pPr>
          </w:p>
        </w:tc>
        <w:tc>
          <w:tcPr>
            <w:tcW w:w="3162" w:type="dxa"/>
            <w:vMerge w:val="continue"/>
            <w:vAlign w:val="center"/>
          </w:tcPr>
          <w:p w14:paraId="2CCD4E1B">
            <w:pPr>
              <w:widowControl/>
              <w:spacing w:line="280" w:lineRule="exact"/>
              <w:jc w:val="center"/>
              <w:textAlignment w:val="center"/>
              <w:rPr>
                <w:rFonts w:hint="default" w:ascii="Times New Roman" w:hAnsi="Times New Roman" w:eastAsia="仿宋_GB2312" w:cs="Times New Roman"/>
              </w:rPr>
            </w:pPr>
          </w:p>
        </w:tc>
        <w:tc>
          <w:tcPr>
            <w:tcW w:w="1351" w:type="dxa"/>
            <w:vMerge w:val="continue"/>
            <w:vAlign w:val="center"/>
          </w:tcPr>
          <w:p w14:paraId="39CD67AA">
            <w:pPr>
              <w:widowControl/>
              <w:spacing w:line="280" w:lineRule="exact"/>
              <w:jc w:val="left"/>
              <w:textAlignment w:val="center"/>
              <w:rPr>
                <w:rFonts w:hint="default" w:ascii="Times New Roman" w:hAnsi="Times New Roman" w:eastAsia="仿宋_GB2312" w:cs="Times New Roman"/>
              </w:rPr>
            </w:pPr>
          </w:p>
        </w:tc>
        <w:tc>
          <w:tcPr>
            <w:tcW w:w="3818" w:type="dxa"/>
            <w:vMerge w:val="continue"/>
            <w:vAlign w:val="center"/>
          </w:tcPr>
          <w:p w14:paraId="53E1F07D">
            <w:pPr>
              <w:widowControl/>
              <w:spacing w:line="280" w:lineRule="exact"/>
              <w:jc w:val="center"/>
              <w:textAlignment w:val="center"/>
              <w:rPr>
                <w:rFonts w:hint="default" w:ascii="Times New Roman" w:hAnsi="Times New Roman" w:eastAsia="仿宋_GB2312" w:cs="Times New Roman"/>
              </w:rPr>
            </w:pPr>
          </w:p>
        </w:tc>
        <w:tc>
          <w:tcPr>
            <w:tcW w:w="2810" w:type="dxa"/>
            <w:vAlign w:val="center"/>
          </w:tcPr>
          <w:p w14:paraId="10EDB391">
            <w:pPr>
              <w:widowControl/>
              <w:spacing w:line="28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吊销</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实验动物生产、使用</w:t>
            </w:r>
            <w:r>
              <w:rPr>
                <w:rFonts w:hint="default" w:ascii="Times New Roman" w:hAnsi="Times New Roman" w:eastAsia="仿宋_GB2312" w:cs="Times New Roman"/>
                <w:color w:val="000000" w:themeColor="text1"/>
                <w:sz w:val="21"/>
                <w:szCs w:val="21"/>
                <w14:textFill>
                  <w14:solidFill>
                    <w14:schemeClr w14:val="tx1"/>
                  </w14:solidFill>
                </w14:textFill>
              </w:rPr>
              <w:t>许可证</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w:t>
            </w:r>
          </w:p>
        </w:tc>
        <w:tc>
          <w:tcPr>
            <w:tcW w:w="1377" w:type="dxa"/>
            <w:vAlign w:val="center"/>
          </w:tcPr>
          <w:p w14:paraId="5FC99B79">
            <w:pPr>
              <w:widowControl/>
              <w:spacing w:line="280" w:lineRule="exact"/>
              <w:jc w:val="lef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sz w:val="21"/>
                <w:szCs w:val="21"/>
                <w:lang w:eastAsia="zh-CN"/>
                <w14:textFill>
                  <w14:solidFill>
                    <w14:schemeClr w14:val="tx1"/>
                  </w14:solidFill>
                </w14:textFill>
              </w:rPr>
              <w:t>科技厅</w:t>
            </w:r>
          </w:p>
        </w:tc>
      </w:tr>
      <w:tr w14:paraId="1E6A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8" w:type="dxa"/>
            <w:vMerge w:val="restart"/>
            <w:vAlign w:val="center"/>
          </w:tcPr>
          <w:p w14:paraId="2CB8CE0C">
            <w:pPr>
              <w:widowControl/>
              <w:spacing w:after="160" w:line="278" w:lineRule="auto"/>
              <w:jc w:val="center"/>
              <w:textAlignment w:val="center"/>
              <w:rPr>
                <w:rFonts w:hint="default" w:ascii="Times New Roman" w:hAnsi="Times New Roman" w:eastAsia="仿宋_GB2312" w:cs="Times New Roman"/>
                <w:color w:val="000000" w:themeColor="text1"/>
                <w:kern w:val="0"/>
                <w:sz w:val="21"/>
                <w:szCs w:val="21"/>
                <w:lang w:bidi="ar"/>
                <w14:textFill>
                  <w14:solidFill>
                    <w14:schemeClr w14:val="tx1"/>
                  </w14:solidFill>
                </w14:textFill>
              </w:rPr>
            </w:pPr>
            <w:r>
              <w:rPr>
                <w:rFonts w:hint="default" w:ascii="Times New Roman" w:hAnsi="Times New Roman" w:eastAsia="仿宋_GB2312" w:cs="Times New Roman"/>
                <w:color w:val="000000" w:themeColor="text1"/>
                <w:kern w:val="0"/>
                <w:sz w:val="21"/>
                <w:szCs w:val="21"/>
                <w:lang w:bidi="ar"/>
                <w14:textFill>
                  <w14:solidFill>
                    <w14:schemeClr w14:val="tx1"/>
                  </w14:solidFill>
                </w14:textFill>
              </w:rPr>
              <w:t>2</w:t>
            </w:r>
          </w:p>
        </w:tc>
        <w:tc>
          <w:tcPr>
            <w:tcW w:w="1337" w:type="dxa"/>
            <w:vMerge w:val="restart"/>
            <w:vAlign w:val="center"/>
          </w:tcPr>
          <w:p w14:paraId="10CE4A0B">
            <w:pPr>
              <w:widowControl/>
              <w:spacing w:line="300" w:lineRule="exact"/>
              <w:jc w:val="left"/>
              <w:textAlignment w:val="center"/>
              <w:rPr>
                <w:rFonts w:hint="default" w:ascii="Times New Roman" w:hAnsi="Times New Roman" w:eastAsia="仿宋_GB2312" w:cs="Times New Roman"/>
                <w:color w:val="000000" w:themeColor="text1"/>
                <w:kern w:val="0"/>
                <w:sz w:val="21"/>
                <w:szCs w:val="21"/>
                <w:lang w:bidi="ar"/>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未经许可从事实验动物生产或</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者</w:t>
            </w:r>
            <w:r>
              <w:rPr>
                <w:rFonts w:hint="default" w:ascii="Times New Roman" w:hAnsi="Times New Roman" w:eastAsia="仿宋_GB2312" w:cs="Times New Roman"/>
                <w:color w:val="000000" w:themeColor="text1"/>
                <w:sz w:val="21"/>
                <w:szCs w:val="21"/>
                <w14:textFill>
                  <w14:solidFill>
                    <w14:schemeClr w14:val="tx1"/>
                  </w14:solidFill>
                </w14:textFill>
              </w:rPr>
              <w:t>使用活动</w:t>
            </w:r>
          </w:p>
        </w:tc>
        <w:tc>
          <w:tcPr>
            <w:tcW w:w="3162" w:type="dxa"/>
            <w:vMerge w:val="restart"/>
            <w:vAlign w:val="center"/>
          </w:tcPr>
          <w:p w14:paraId="34C6FEAA">
            <w:pPr>
              <w:widowControl/>
              <w:spacing w:line="30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《实验动物管理条例》第六条：国家实行实验动物的质量监督和质量合格认证制度。</w:t>
            </w:r>
          </w:p>
          <w:p w14:paraId="647A2B31">
            <w:pPr>
              <w:widowControl/>
              <w:spacing w:line="300" w:lineRule="exact"/>
              <w:jc w:val="left"/>
              <w:textAlignment w:val="center"/>
              <w:rPr>
                <w:rFonts w:hint="default" w:ascii="Times New Roman" w:hAnsi="Times New Roman" w:eastAsia="仿宋_GB2312" w:cs="Times New Roman"/>
                <w:color w:val="000000" w:themeColor="text1"/>
                <w:kern w:val="0"/>
                <w:sz w:val="21"/>
                <w:szCs w:val="21"/>
                <w:lang w:bidi="ar"/>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第二十九条：对违反本条例规定的单位，由管理实验动物工作的部门视情节轻重，分别给予警告、限期改进、责令关闭的行政处罚。</w:t>
            </w:r>
          </w:p>
        </w:tc>
        <w:tc>
          <w:tcPr>
            <w:tcW w:w="1351" w:type="dxa"/>
            <w:vAlign w:val="center"/>
          </w:tcPr>
          <w:p w14:paraId="409C9F6C">
            <w:pPr>
              <w:widowControl/>
              <w:spacing w:line="280" w:lineRule="exact"/>
              <w:jc w:val="lef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sz w:val="21"/>
                <w:szCs w:val="21"/>
              </w:rPr>
              <w:t>不予</w:t>
            </w:r>
            <w:r>
              <w:rPr>
                <w:rFonts w:hint="eastAsia" w:ascii="Times New Roman" w:hAnsi="Times New Roman" w:eastAsia="仿宋_GB2312" w:cs="Times New Roman"/>
                <w:sz w:val="21"/>
                <w:szCs w:val="21"/>
                <w:lang w:val="en-US" w:eastAsia="zh-CN"/>
              </w:rPr>
              <w:t>或者</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免予处罚</w:t>
            </w:r>
          </w:p>
        </w:tc>
        <w:tc>
          <w:tcPr>
            <w:tcW w:w="3818" w:type="dxa"/>
            <w:vAlign w:val="center"/>
          </w:tcPr>
          <w:p w14:paraId="78D302DD">
            <w:pPr>
              <w:widowControl/>
              <w:spacing w:line="280" w:lineRule="exac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同时具备以下条件：1.首次发生此类违法行为或</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者</w:t>
            </w:r>
            <w:r>
              <w:rPr>
                <w:rFonts w:hint="default" w:ascii="Times New Roman" w:hAnsi="Times New Roman" w:eastAsia="仿宋_GB2312" w:cs="Times New Roman"/>
                <w:color w:val="000000" w:themeColor="text1"/>
                <w:sz w:val="21"/>
                <w:szCs w:val="21"/>
                <w14:textFill>
                  <w14:solidFill>
                    <w14:schemeClr w14:val="tx1"/>
                  </w14:solidFill>
                </w14:textFill>
              </w:rPr>
              <w:t>非主观故意；2.</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及时改正且</w:t>
            </w:r>
            <w:r>
              <w:rPr>
                <w:rFonts w:hint="default" w:ascii="Times New Roman" w:hAnsi="Times New Roman" w:eastAsia="仿宋_GB2312" w:cs="Times New Roman"/>
                <w:color w:val="000000" w:themeColor="text1"/>
                <w:sz w:val="21"/>
                <w:szCs w:val="21"/>
                <w14:textFill>
                  <w14:solidFill>
                    <w14:schemeClr w14:val="tx1"/>
                  </w14:solidFill>
                </w14:textFill>
              </w:rPr>
              <w:t>没有造成危害后果</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w:t>
            </w:r>
          </w:p>
        </w:tc>
        <w:tc>
          <w:tcPr>
            <w:tcW w:w="2810" w:type="dxa"/>
            <w:vAlign w:val="center"/>
          </w:tcPr>
          <w:p w14:paraId="47343718">
            <w:pPr>
              <w:widowControl/>
              <w:spacing w:line="280" w:lineRule="exact"/>
              <w:jc w:val="lef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p>
        </w:tc>
        <w:tc>
          <w:tcPr>
            <w:tcW w:w="1377" w:type="dxa"/>
            <w:vAlign w:val="center"/>
          </w:tcPr>
          <w:p w14:paraId="34F83BF6">
            <w:pPr>
              <w:widowControl/>
              <w:spacing w:line="28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科技厅</w:t>
            </w:r>
          </w:p>
        </w:tc>
      </w:tr>
      <w:tr w14:paraId="61F7B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18" w:type="dxa"/>
            <w:vMerge w:val="continue"/>
            <w:vAlign w:val="center"/>
          </w:tcPr>
          <w:p w14:paraId="7B587673">
            <w:pPr>
              <w:widowControl/>
              <w:spacing w:after="160" w:line="278" w:lineRule="auto"/>
              <w:jc w:val="center"/>
              <w:textAlignment w:val="center"/>
              <w:rPr>
                <w:rFonts w:hint="default" w:ascii="Times New Roman" w:hAnsi="Times New Roman" w:eastAsia="仿宋_GB2312" w:cs="Times New Roman"/>
                <w:color w:val="000000" w:themeColor="text1"/>
                <w:kern w:val="0"/>
                <w:sz w:val="21"/>
                <w:szCs w:val="21"/>
                <w:lang w:bidi="ar"/>
                <w14:textFill>
                  <w14:solidFill>
                    <w14:schemeClr w14:val="tx1"/>
                  </w14:solidFill>
                </w14:textFill>
              </w:rPr>
            </w:pPr>
          </w:p>
        </w:tc>
        <w:tc>
          <w:tcPr>
            <w:tcW w:w="1337" w:type="dxa"/>
            <w:vMerge w:val="continue"/>
            <w:vAlign w:val="center"/>
          </w:tcPr>
          <w:p w14:paraId="047192D3">
            <w:pPr>
              <w:widowControl/>
              <w:spacing w:line="30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p>
        </w:tc>
        <w:tc>
          <w:tcPr>
            <w:tcW w:w="3162" w:type="dxa"/>
            <w:vMerge w:val="continue"/>
            <w:vAlign w:val="center"/>
          </w:tcPr>
          <w:p w14:paraId="74E2017F">
            <w:pPr>
              <w:widowControl/>
              <w:spacing w:line="30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p>
        </w:tc>
        <w:tc>
          <w:tcPr>
            <w:tcW w:w="1351" w:type="dxa"/>
            <w:vAlign w:val="center"/>
          </w:tcPr>
          <w:p w14:paraId="4F94D290">
            <w:pPr>
              <w:widowControl/>
              <w:spacing w:line="28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减轻</w:t>
            </w:r>
            <w:r>
              <w:rPr>
                <w:rFonts w:hint="eastAsia" w:ascii="Times New Roman" w:hAnsi="Times New Roman" w:eastAsia="仿宋_GB2312" w:cs="Times New Roman"/>
                <w:color w:val="000000" w:themeColor="text1"/>
                <w:sz w:val="21"/>
                <w:szCs w:val="21"/>
                <w:lang w:eastAsia="zh-CN"/>
                <w14:textFill>
                  <w14:solidFill>
                    <w14:schemeClr w14:val="tx1"/>
                  </w14:solidFill>
                </w14:textFill>
              </w:rPr>
              <w:t>或者</w:t>
            </w:r>
            <w:r>
              <w:rPr>
                <w:rFonts w:hint="default" w:ascii="Times New Roman" w:hAnsi="Times New Roman" w:eastAsia="仿宋_GB2312" w:cs="Times New Roman"/>
                <w:color w:val="000000" w:themeColor="text1"/>
                <w:sz w:val="21"/>
                <w:szCs w:val="21"/>
                <w14:textFill>
                  <w14:solidFill>
                    <w14:schemeClr w14:val="tx1"/>
                  </w14:solidFill>
                </w14:textFill>
              </w:rPr>
              <w:t>从轻</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处罚</w:t>
            </w:r>
          </w:p>
        </w:tc>
        <w:tc>
          <w:tcPr>
            <w:tcW w:w="3818" w:type="dxa"/>
            <w:vAlign w:val="center"/>
          </w:tcPr>
          <w:p w14:paraId="73C9D2AD">
            <w:pPr>
              <w:widowControl/>
              <w:spacing w:line="280" w:lineRule="exac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eastAsia="zh-CN"/>
                <w14:textFill>
                  <w14:solidFill>
                    <w14:schemeClr w14:val="tx1"/>
                  </w14:solidFill>
                </w14:textFill>
              </w:rPr>
              <w:t>及时改正且</w:t>
            </w:r>
            <w:r>
              <w:rPr>
                <w:rFonts w:hint="default" w:ascii="Times New Roman" w:hAnsi="Times New Roman" w:eastAsia="仿宋_GB2312" w:cs="Times New Roman"/>
                <w:color w:val="000000" w:themeColor="text1"/>
                <w:sz w:val="21"/>
                <w:szCs w:val="21"/>
                <w14:textFill>
                  <w14:solidFill>
                    <w14:schemeClr w14:val="tx1"/>
                  </w14:solidFill>
                </w14:textFill>
              </w:rPr>
              <w:t>没有造成危害后果</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w:t>
            </w:r>
          </w:p>
        </w:tc>
        <w:tc>
          <w:tcPr>
            <w:tcW w:w="2810" w:type="dxa"/>
            <w:vAlign w:val="center"/>
          </w:tcPr>
          <w:p w14:paraId="0F12F029">
            <w:pPr>
              <w:widowControl/>
              <w:spacing w:line="28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警告</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w:t>
            </w:r>
          </w:p>
        </w:tc>
        <w:tc>
          <w:tcPr>
            <w:tcW w:w="1377" w:type="dxa"/>
            <w:vAlign w:val="center"/>
          </w:tcPr>
          <w:p w14:paraId="1D54D208">
            <w:pPr>
              <w:widowControl/>
              <w:spacing w:line="28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科技厅</w:t>
            </w:r>
          </w:p>
        </w:tc>
      </w:tr>
      <w:tr w14:paraId="0AE53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818" w:type="dxa"/>
            <w:vMerge w:val="continue"/>
            <w:vAlign w:val="center"/>
          </w:tcPr>
          <w:p w14:paraId="4769A662">
            <w:pPr>
              <w:widowControl/>
              <w:spacing w:after="160" w:line="278" w:lineRule="auto"/>
              <w:jc w:val="center"/>
              <w:textAlignment w:val="center"/>
              <w:rPr>
                <w:rFonts w:hint="default" w:ascii="Times New Roman" w:hAnsi="Times New Roman" w:eastAsia="仿宋_GB2312" w:cs="Times New Roman"/>
                <w:color w:val="000000" w:themeColor="text1"/>
                <w:kern w:val="0"/>
                <w:sz w:val="21"/>
                <w:szCs w:val="21"/>
                <w:lang w:bidi="ar"/>
                <w14:textFill>
                  <w14:solidFill>
                    <w14:schemeClr w14:val="tx1"/>
                  </w14:solidFill>
                </w14:textFill>
              </w:rPr>
            </w:pPr>
          </w:p>
        </w:tc>
        <w:tc>
          <w:tcPr>
            <w:tcW w:w="1337" w:type="dxa"/>
            <w:vMerge w:val="continue"/>
            <w:vAlign w:val="center"/>
          </w:tcPr>
          <w:p w14:paraId="35FA0F8D">
            <w:pPr>
              <w:widowControl/>
              <w:spacing w:line="300" w:lineRule="exact"/>
              <w:jc w:val="left"/>
              <w:textAlignment w:val="center"/>
              <w:rPr>
                <w:rFonts w:hint="default" w:ascii="Times New Roman" w:hAnsi="Times New Roman" w:eastAsia="仿宋_GB2312" w:cs="Times New Roman"/>
                <w:color w:val="000000" w:themeColor="text1"/>
                <w:kern w:val="0"/>
                <w:sz w:val="21"/>
                <w:szCs w:val="21"/>
                <w:lang w:bidi="ar"/>
                <w14:textFill>
                  <w14:solidFill>
                    <w14:schemeClr w14:val="tx1"/>
                  </w14:solidFill>
                </w14:textFill>
              </w:rPr>
            </w:pPr>
          </w:p>
        </w:tc>
        <w:tc>
          <w:tcPr>
            <w:tcW w:w="3162" w:type="dxa"/>
            <w:vMerge w:val="continue"/>
            <w:vAlign w:val="center"/>
          </w:tcPr>
          <w:p w14:paraId="13273E8F">
            <w:pPr>
              <w:widowControl/>
              <w:spacing w:line="300" w:lineRule="exact"/>
              <w:jc w:val="center"/>
              <w:textAlignment w:val="center"/>
              <w:rPr>
                <w:rFonts w:hint="default" w:ascii="Times New Roman" w:hAnsi="Times New Roman" w:eastAsia="仿宋_GB2312" w:cs="Times New Roman"/>
                <w:color w:val="000000" w:themeColor="text1"/>
                <w:kern w:val="0"/>
                <w:sz w:val="21"/>
                <w:szCs w:val="21"/>
                <w:lang w:bidi="ar"/>
                <w14:textFill>
                  <w14:solidFill>
                    <w14:schemeClr w14:val="tx1"/>
                  </w14:solidFill>
                </w14:textFill>
              </w:rPr>
            </w:pPr>
          </w:p>
        </w:tc>
        <w:tc>
          <w:tcPr>
            <w:tcW w:w="1351" w:type="dxa"/>
            <w:shd w:val="clear" w:color="auto" w:fill="auto"/>
            <w:vAlign w:val="center"/>
          </w:tcPr>
          <w:p w14:paraId="5A9767A8">
            <w:pPr>
              <w:widowControl/>
              <w:spacing w:line="28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一般处罚</w:t>
            </w:r>
          </w:p>
        </w:tc>
        <w:tc>
          <w:tcPr>
            <w:tcW w:w="3818" w:type="dxa"/>
            <w:shd w:val="clear" w:color="auto" w:fill="auto"/>
            <w:vAlign w:val="center"/>
          </w:tcPr>
          <w:p w14:paraId="5F8DF0E5">
            <w:pPr>
              <w:widowControl/>
              <w:spacing w:line="280" w:lineRule="exac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同时具备以下条件：1.超出许可证</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有效期或者</w:t>
            </w:r>
            <w:r>
              <w:rPr>
                <w:rFonts w:hint="default" w:ascii="Times New Roman" w:hAnsi="Times New Roman" w:eastAsia="仿宋_GB2312" w:cs="Times New Roman"/>
                <w:color w:val="000000" w:themeColor="text1"/>
                <w:sz w:val="21"/>
                <w:szCs w:val="21"/>
                <w14:textFill>
                  <w14:solidFill>
                    <w14:schemeClr w14:val="tx1"/>
                  </w14:solidFill>
                </w14:textFill>
              </w:rPr>
              <w:t>许可范围，从事实验动物生产或</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者</w:t>
            </w:r>
            <w:r>
              <w:rPr>
                <w:rFonts w:hint="default" w:ascii="Times New Roman" w:hAnsi="Times New Roman" w:eastAsia="仿宋_GB2312" w:cs="Times New Roman"/>
                <w:color w:val="000000" w:themeColor="text1"/>
                <w:sz w:val="21"/>
                <w:szCs w:val="21"/>
                <w14:textFill>
                  <w14:solidFill>
                    <w14:schemeClr w14:val="tx1"/>
                  </w14:solidFill>
                </w14:textFill>
              </w:rPr>
              <w:t>使用活动；2.没有造成危害后果。</w:t>
            </w:r>
          </w:p>
        </w:tc>
        <w:tc>
          <w:tcPr>
            <w:tcW w:w="2810" w:type="dxa"/>
            <w:shd w:val="clear" w:color="auto" w:fill="auto"/>
            <w:vAlign w:val="center"/>
          </w:tcPr>
          <w:p w14:paraId="6083E1D3">
            <w:pPr>
              <w:widowControl/>
              <w:spacing w:line="280" w:lineRule="exact"/>
              <w:jc w:val="lef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限期改进</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w:t>
            </w:r>
          </w:p>
        </w:tc>
        <w:tc>
          <w:tcPr>
            <w:tcW w:w="1377" w:type="dxa"/>
            <w:vAlign w:val="center"/>
          </w:tcPr>
          <w:p w14:paraId="59315B96">
            <w:pPr>
              <w:widowControl/>
              <w:spacing w:line="28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科技厅</w:t>
            </w:r>
          </w:p>
        </w:tc>
      </w:tr>
      <w:tr w14:paraId="151E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8" w:type="dxa"/>
            <w:vMerge w:val="continue"/>
            <w:vAlign w:val="center"/>
          </w:tcPr>
          <w:p w14:paraId="126BAE78">
            <w:pPr>
              <w:widowControl/>
              <w:spacing w:after="160" w:line="278" w:lineRule="auto"/>
              <w:jc w:val="center"/>
              <w:textAlignment w:val="center"/>
              <w:rPr>
                <w:rFonts w:hint="default" w:ascii="Times New Roman" w:hAnsi="Times New Roman" w:eastAsia="仿宋_GB2312" w:cs="Times New Roman"/>
                <w:color w:val="000000" w:themeColor="text1"/>
                <w:kern w:val="0"/>
                <w:sz w:val="21"/>
                <w:szCs w:val="21"/>
                <w:lang w:bidi="ar"/>
                <w14:textFill>
                  <w14:solidFill>
                    <w14:schemeClr w14:val="tx1"/>
                  </w14:solidFill>
                </w14:textFill>
              </w:rPr>
            </w:pPr>
          </w:p>
        </w:tc>
        <w:tc>
          <w:tcPr>
            <w:tcW w:w="1337" w:type="dxa"/>
            <w:vMerge w:val="continue"/>
            <w:vAlign w:val="center"/>
          </w:tcPr>
          <w:p w14:paraId="7CCA6D89">
            <w:pPr>
              <w:widowControl/>
              <w:spacing w:line="300" w:lineRule="exact"/>
              <w:jc w:val="left"/>
              <w:textAlignment w:val="center"/>
              <w:rPr>
                <w:rFonts w:hint="default" w:ascii="Times New Roman" w:hAnsi="Times New Roman" w:eastAsia="仿宋_GB2312" w:cs="Times New Roman"/>
                <w:color w:val="000000" w:themeColor="text1"/>
                <w:kern w:val="0"/>
                <w:sz w:val="21"/>
                <w:szCs w:val="21"/>
                <w:lang w:bidi="ar"/>
                <w14:textFill>
                  <w14:solidFill>
                    <w14:schemeClr w14:val="tx1"/>
                  </w14:solidFill>
                </w14:textFill>
              </w:rPr>
            </w:pPr>
          </w:p>
        </w:tc>
        <w:tc>
          <w:tcPr>
            <w:tcW w:w="3162" w:type="dxa"/>
            <w:vMerge w:val="continue"/>
            <w:vAlign w:val="center"/>
          </w:tcPr>
          <w:p w14:paraId="58808A25">
            <w:pPr>
              <w:widowControl/>
              <w:spacing w:line="300" w:lineRule="exact"/>
              <w:jc w:val="center"/>
              <w:textAlignment w:val="center"/>
              <w:rPr>
                <w:rFonts w:hint="default" w:ascii="Times New Roman" w:hAnsi="Times New Roman" w:eastAsia="仿宋_GB2312" w:cs="Times New Roman"/>
                <w:color w:val="000000" w:themeColor="text1"/>
                <w:kern w:val="0"/>
                <w:sz w:val="21"/>
                <w:szCs w:val="21"/>
                <w:lang w:bidi="ar"/>
                <w14:textFill>
                  <w14:solidFill>
                    <w14:schemeClr w14:val="tx1"/>
                  </w14:solidFill>
                </w14:textFill>
              </w:rPr>
            </w:pPr>
          </w:p>
        </w:tc>
        <w:tc>
          <w:tcPr>
            <w:tcW w:w="1351" w:type="dxa"/>
            <w:shd w:val="clear" w:color="auto" w:fill="auto"/>
            <w:vAlign w:val="center"/>
          </w:tcPr>
          <w:p w14:paraId="4CC07642">
            <w:pPr>
              <w:widowControl/>
              <w:spacing w:line="280" w:lineRule="exact"/>
              <w:jc w:val="lef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从重</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处罚</w:t>
            </w:r>
          </w:p>
        </w:tc>
        <w:tc>
          <w:tcPr>
            <w:tcW w:w="3818" w:type="dxa"/>
            <w:shd w:val="clear" w:color="auto" w:fill="auto"/>
            <w:vAlign w:val="center"/>
          </w:tcPr>
          <w:p w14:paraId="7DE9680F">
            <w:pPr>
              <w:widowControl/>
              <w:spacing w:line="280" w:lineRule="exact"/>
              <w:textAlignment w:val="center"/>
              <w:rPr>
                <w:rFonts w:hint="default" w:ascii="Times New Roman" w:hAnsi="Times New Roman" w:cs="Times New Roman"/>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满足以下情形之一：</w:t>
            </w: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1.</w:t>
            </w:r>
            <w:r>
              <w:rPr>
                <w:rFonts w:hint="default" w:ascii="Times New Roman" w:hAnsi="Times New Roman" w:eastAsia="仿宋_GB2312" w:cs="Times New Roman"/>
                <w:color w:val="000000" w:themeColor="text1"/>
                <w:sz w:val="21"/>
                <w:szCs w:val="21"/>
                <w14:textFill>
                  <w14:solidFill>
                    <w14:schemeClr w14:val="tx1"/>
                  </w14:solidFill>
                </w14:textFill>
              </w:rPr>
              <w:t>未取得实验动物生产许可证，从事实验动物生产活动</w:t>
            </w:r>
            <w:r>
              <w:rPr>
                <w:rFonts w:hint="eastAsia" w:ascii="Times New Roman" w:hAnsi="Times New Roman" w:eastAsia="仿宋_GB2312" w:cs="Times New Roman"/>
                <w:color w:val="000000" w:themeColor="text1"/>
                <w:sz w:val="21"/>
                <w:szCs w:val="21"/>
                <w:lang w:val="en-US" w:eastAsia="zh-CN"/>
                <w14:textFill>
                  <w14:solidFill>
                    <w14:schemeClr w14:val="tx1"/>
                  </w14:solidFill>
                </w14:textFill>
              </w:rPr>
              <w:t>；</w:t>
            </w: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2.</w:t>
            </w:r>
            <w:r>
              <w:rPr>
                <w:rFonts w:hint="default" w:ascii="Times New Roman" w:hAnsi="Times New Roman" w:eastAsia="仿宋_GB2312" w:cs="Times New Roman"/>
                <w:color w:val="000000" w:themeColor="text1"/>
                <w:sz w:val="21"/>
                <w:szCs w:val="21"/>
                <w14:textFill>
                  <w14:solidFill>
                    <w14:schemeClr w14:val="tx1"/>
                  </w14:solidFill>
                </w14:textFill>
              </w:rPr>
              <w:t>未取得实验动物</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使用</w:t>
            </w:r>
            <w:r>
              <w:rPr>
                <w:rFonts w:hint="default" w:ascii="Times New Roman" w:hAnsi="Times New Roman" w:eastAsia="仿宋_GB2312" w:cs="Times New Roman"/>
                <w:color w:val="000000" w:themeColor="text1"/>
                <w:sz w:val="21"/>
                <w:szCs w:val="21"/>
                <w14:textFill>
                  <w14:solidFill>
                    <w14:schemeClr w14:val="tx1"/>
                  </w14:solidFill>
                </w14:textFill>
              </w:rPr>
              <w:t>许可证，从事实验动物</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使用</w:t>
            </w:r>
            <w:r>
              <w:rPr>
                <w:rFonts w:hint="default" w:ascii="Times New Roman" w:hAnsi="Times New Roman" w:eastAsia="仿宋_GB2312" w:cs="Times New Roman"/>
                <w:color w:val="000000" w:themeColor="text1"/>
                <w:sz w:val="21"/>
                <w:szCs w:val="21"/>
                <w14:textFill>
                  <w14:solidFill>
                    <w14:schemeClr w14:val="tx1"/>
                  </w14:solidFill>
                </w14:textFill>
              </w:rPr>
              <w:t>活动。</w:t>
            </w:r>
          </w:p>
        </w:tc>
        <w:tc>
          <w:tcPr>
            <w:tcW w:w="2810" w:type="dxa"/>
            <w:shd w:val="clear" w:color="auto" w:fill="auto"/>
            <w:vAlign w:val="center"/>
          </w:tcPr>
          <w:p w14:paraId="21847F3B">
            <w:pPr>
              <w:widowControl/>
              <w:spacing w:line="280" w:lineRule="exact"/>
              <w:jc w:val="lef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责令关闭</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w:t>
            </w:r>
          </w:p>
        </w:tc>
        <w:tc>
          <w:tcPr>
            <w:tcW w:w="1377" w:type="dxa"/>
            <w:vAlign w:val="center"/>
          </w:tcPr>
          <w:p w14:paraId="764F8018">
            <w:pPr>
              <w:widowControl/>
              <w:spacing w:line="28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科技厅</w:t>
            </w:r>
          </w:p>
        </w:tc>
      </w:tr>
      <w:tr w14:paraId="5D473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18" w:type="dxa"/>
            <w:vMerge w:val="restart"/>
            <w:tcBorders>
              <w:top w:val="single" w:color="auto" w:sz="4" w:space="0"/>
            </w:tcBorders>
            <w:vAlign w:val="center"/>
          </w:tcPr>
          <w:p w14:paraId="30BE8D58">
            <w:pPr>
              <w:widowControl/>
              <w:spacing w:after="160" w:line="278" w:lineRule="auto"/>
              <w:jc w:val="center"/>
              <w:textAlignment w:val="center"/>
              <w:rPr>
                <w:rFonts w:hint="default" w:ascii="Times New Roman" w:hAnsi="Times New Roman" w:eastAsia="仿宋_GB2312" w:cs="Times New Roman"/>
                <w:color w:val="000000" w:themeColor="text1"/>
                <w:kern w:val="0"/>
                <w:sz w:val="21"/>
                <w:szCs w:val="21"/>
                <w:lang w:bidi="ar"/>
                <w14:textFill>
                  <w14:solidFill>
                    <w14:schemeClr w14:val="tx1"/>
                  </w14:solidFill>
                </w14:textFill>
              </w:rPr>
            </w:pPr>
            <w:r>
              <w:rPr>
                <w:rFonts w:hint="default" w:ascii="Times New Roman" w:hAnsi="Times New Roman" w:eastAsia="仿宋_GB2312" w:cs="Times New Roman"/>
                <w:color w:val="000000" w:themeColor="text1"/>
                <w:kern w:val="0"/>
                <w:sz w:val="21"/>
                <w:szCs w:val="21"/>
                <w:lang w:bidi="ar"/>
                <w14:textFill>
                  <w14:solidFill>
                    <w14:schemeClr w14:val="tx1"/>
                  </w14:solidFill>
                </w14:textFill>
              </w:rPr>
              <w:t>3</w:t>
            </w:r>
          </w:p>
        </w:tc>
        <w:tc>
          <w:tcPr>
            <w:tcW w:w="1337" w:type="dxa"/>
            <w:vMerge w:val="restart"/>
            <w:tcBorders>
              <w:top w:val="single" w:color="auto" w:sz="4" w:space="0"/>
            </w:tcBorders>
            <w:vAlign w:val="center"/>
          </w:tcPr>
          <w:p w14:paraId="770E44C3">
            <w:pPr>
              <w:widowControl/>
              <w:spacing w:line="300" w:lineRule="exact"/>
              <w:jc w:val="left"/>
              <w:textAlignment w:val="center"/>
              <w:rPr>
                <w:rFonts w:hint="default" w:ascii="Times New Roman" w:hAnsi="Times New Roman" w:eastAsia="仿宋_GB2312" w:cs="Times New Roman"/>
                <w:color w:val="000000" w:themeColor="text1"/>
                <w:kern w:val="0"/>
                <w:sz w:val="21"/>
                <w:szCs w:val="21"/>
                <w:lang w:bidi="ar"/>
                <w14:textFill>
                  <w14:solidFill>
                    <w14:schemeClr w14:val="tx1"/>
                  </w14:solidFill>
                </w14:textFill>
              </w:rPr>
            </w:pPr>
            <w:r>
              <w:rPr>
                <w:rFonts w:hint="default" w:ascii="Times New Roman" w:hAnsi="Times New Roman" w:eastAsia="仿宋_GB2312" w:cs="Times New Roman"/>
                <w:snapToGrid w:val="0"/>
                <w:color w:val="000000"/>
                <w:spacing w:val="8"/>
                <w:kern w:val="0"/>
                <w:sz w:val="21"/>
                <w:szCs w:val="21"/>
              </w:rPr>
              <w:t>没有按照国家标准定期开展质量检测</w:t>
            </w:r>
          </w:p>
        </w:tc>
        <w:tc>
          <w:tcPr>
            <w:tcW w:w="3162" w:type="dxa"/>
            <w:vMerge w:val="restart"/>
            <w:tcBorders>
              <w:top w:val="single" w:color="auto" w:sz="4" w:space="0"/>
            </w:tcBorders>
            <w:vAlign w:val="center"/>
          </w:tcPr>
          <w:p w14:paraId="13DF4B4F">
            <w:pPr>
              <w:widowControl/>
              <w:spacing w:line="30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《实验动物管理条例》第八条</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w:t>
            </w:r>
            <w:r>
              <w:rPr>
                <w:rFonts w:hint="default" w:ascii="Times New Roman" w:hAnsi="Times New Roman" w:eastAsia="仿宋_GB2312" w:cs="Times New Roman"/>
                <w:color w:val="000000" w:themeColor="text1"/>
                <w:sz w:val="21"/>
                <w:szCs w:val="21"/>
                <w14:textFill>
                  <w14:solidFill>
                    <w14:schemeClr w14:val="tx1"/>
                  </w14:solidFill>
                </w14:textFill>
              </w:rPr>
              <w:t>　从事实验动物饲育工作的单位，必须根据遗传学、微生物学、营养学和饲育环境方面的标准，定期对实验动物进行质量监测。</w:t>
            </w:r>
          </w:p>
          <w:p w14:paraId="4473A820">
            <w:pPr>
              <w:widowControl/>
              <w:spacing w:line="300" w:lineRule="exact"/>
              <w:jc w:val="left"/>
              <w:textAlignment w:val="center"/>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第二十九条</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w:t>
            </w:r>
            <w:r>
              <w:rPr>
                <w:rFonts w:hint="default" w:ascii="Times New Roman" w:hAnsi="Times New Roman" w:eastAsia="仿宋_GB2312" w:cs="Times New Roman"/>
                <w:color w:val="000000" w:themeColor="text1"/>
                <w:sz w:val="21"/>
                <w:szCs w:val="21"/>
                <w14:textFill>
                  <w14:solidFill>
                    <w14:schemeClr w14:val="tx1"/>
                  </w14:solidFill>
                </w14:textFill>
              </w:rPr>
              <w:t>对违反本条例规定的单位，由管理实验动物工作的部门视情节轻重，分别给予警告、限期改进、责令关闭的行政处罚。</w:t>
            </w:r>
          </w:p>
        </w:tc>
        <w:tc>
          <w:tcPr>
            <w:tcW w:w="1351" w:type="dxa"/>
            <w:tcBorders>
              <w:top w:val="single" w:color="auto" w:sz="4" w:space="0"/>
              <w:bottom w:val="single" w:color="auto" w:sz="4" w:space="0"/>
            </w:tcBorders>
            <w:vAlign w:val="center"/>
          </w:tcPr>
          <w:p w14:paraId="39115CFE">
            <w:pPr>
              <w:widowControl/>
              <w:spacing w:line="300" w:lineRule="exact"/>
              <w:jc w:val="lef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sz w:val="21"/>
                <w:szCs w:val="21"/>
                <w:lang w:eastAsia="zh-CN"/>
                <w14:textFill>
                  <w14:solidFill>
                    <w14:schemeClr w14:val="tx1"/>
                  </w14:solidFill>
                </w14:textFill>
              </w:rPr>
              <w:t>不予</w:t>
            </w:r>
            <w:r>
              <w:rPr>
                <w:rFonts w:hint="eastAsia" w:ascii="Times New Roman" w:hAnsi="Times New Roman" w:eastAsia="仿宋_GB2312" w:cs="Times New Roman"/>
                <w:color w:val="000000" w:themeColor="text1"/>
                <w:sz w:val="21"/>
                <w:szCs w:val="21"/>
                <w:lang w:eastAsia="zh-CN"/>
                <w14:textFill>
                  <w14:solidFill>
                    <w14:schemeClr w14:val="tx1"/>
                  </w14:solidFill>
                </w14:textFill>
              </w:rPr>
              <w:t>或者</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免予处罚</w:t>
            </w:r>
          </w:p>
        </w:tc>
        <w:tc>
          <w:tcPr>
            <w:tcW w:w="3818" w:type="dxa"/>
            <w:tcBorders>
              <w:top w:val="single" w:color="auto" w:sz="4" w:space="0"/>
              <w:bottom w:val="single" w:color="auto" w:sz="4" w:space="0"/>
            </w:tcBorders>
            <w:vAlign w:val="center"/>
          </w:tcPr>
          <w:p w14:paraId="2C8E00FB">
            <w:pPr>
              <w:widowControl/>
              <w:spacing w:line="300" w:lineRule="exac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同时具备以下条件：1.首次发生此类违法行为或</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者</w:t>
            </w:r>
            <w:r>
              <w:rPr>
                <w:rFonts w:hint="default" w:ascii="Times New Roman" w:hAnsi="Times New Roman" w:eastAsia="仿宋_GB2312" w:cs="Times New Roman"/>
                <w:color w:val="000000" w:themeColor="text1"/>
                <w:sz w:val="21"/>
                <w:szCs w:val="21"/>
                <w14:textFill>
                  <w14:solidFill>
                    <w14:schemeClr w14:val="tx1"/>
                  </w14:solidFill>
                </w14:textFill>
              </w:rPr>
              <w:t>非主观故意；2.</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及时改正且</w:t>
            </w:r>
            <w:r>
              <w:rPr>
                <w:rFonts w:hint="default" w:ascii="Times New Roman" w:hAnsi="Times New Roman" w:eastAsia="仿宋_GB2312" w:cs="Times New Roman"/>
                <w:color w:val="000000" w:themeColor="text1"/>
                <w:sz w:val="21"/>
                <w:szCs w:val="21"/>
                <w14:textFill>
                  <w14:solidFill>
                    <w14:schemeClr w14:val="tx1"/>
                  </w14:solidFill>
                </w14:textFill>
              </w:rPr>
              <w:t>没有造成危害后果。</w:t>
            </w:r>
          </w:p>
        </w:tc>
        <w:tc>
          <w:tcPr>
            <w:tcW w:w="2810" w:type="dxa"/>
            <w:tcBorders>
              <w:top w:val="single" w:color="auto" w:sz="4" w:space="0"/>
              <w:bottom w:val="single" w:color="auto" w:sz="4" w:space="0"/>
            </w:tcBorders>
            <w:vAlign w:val="center"/>
          </w:tcPr>
          <w:p w14:paraId="225056AC">
            <w:pPr>
              <w:widowControl/>
              <w:spacing w:line="30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p>
        </w:tc>
        <w:tc>
          <w:tcPr>
            <w:tcW w:w="1377" w:type="dxa"/>
            <w:tcBorders>
              <w:top w:val="single" w:color="auto" w:sz="4" w:space="0"/>
              <w:bottom w:val="single" w:color="auto" w:sz="4" w:space="0"/>
            </w:tcBorders>
            <w:vAlign w:val="center"/>
          </w:tcPr>
          <w:p w14:paraId="31481D41">
            <w:pPr>
              <w:widowControl/>
              <w:spacing w:line="30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科技厅</w:t>
            </w:r>
          </w:p>
        </w:tc>
      </w:tr>
      <w:tr w14:paraId="49657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818" w:type="dxa"/>
            <w:vMerge w:val="continue"/>
            <w:vAlign w:val="center"/>
          </w:tcPr>
          <w:p w14:paraId="5F0C47E1">
            <w:pPr>
              <w:widowControl/>
              <w:spacing w:after="160" w:line="278" w:lineRule="auto"/>
              <w:jc w:val="center"/>
              <w:textAlignment w:val="center"/>
              <w:rPr>
                <w:rFonts w:hint="default" w:ascii="Times New Roman" w:hAnsi="Times New Roman" w:eastAsia="仿宋_GB2312" w:cs="Times New Roman"/>
                <w:color w:val="000000" w:themeColor="text1"/>
                <w:kern w:val="0"/>
                <w:sz w:val="21"/>
                <w:szCs w:val="21"/>
                <w:lang w:bidi="ar"/>
                <w14:textFill>
                  <w14:solidFill>
                    <w14:schemeClr w14:val="tx1"/>
                  </w14:solidFill>
                </w14:textFill>
              </w:rPr>
            </w:pPr>
          </w:p>
        </w:tc>
        <w:tc>
          <w:tcPr>
            <w:tcW w:w="1337" w:type="dxa"/>
            <w:vMerge w:val="continue"/>
            <w:vAlign w:val="center"/>
          </w:tcPr>
          <w:p w14:paraId="7E6E93CC">
            <w:pPr>
              <w:widowControl/>
              <w:spacing w:line="300" w:lineRule="exact"/>
              <w:jc w:val="left"/>
              <w:textAlignment w:val="center"/>
              <w:rPr>
                <w:rFonts w:hint="default" w:ascii="Times New Roman" w:hAnsi="Times New Roman" w:eastAsia="仿宋_GB2312" w:cs="Times New Roman"/>
                <w:color w:val="000000" w:themeColor="text1"/>
                <w:kern w:val="0"/>
                <w:sz w:val="21"/>
                <w:szCs w:val="21"/>
                <w:lang w:bidi="ar"/>
                <w14:textFill>
                  <w14:solidFill>
                    <w14:schemeClr w14:val="tx1"/>
                  </w14:solidFill>
                </w14:textFill>
              </w:rPr>
            </w:pPr>
          </w:p>
        </w:tc>
        <w:tc>
          <w:tcPr>
            <w:tcW w:w="3162" w:type="dxa"/>
            <w:vMerge w:val="continue"/>
            <w:vAlign w:val="center"/>
          </w:tcPr>
          <w:p w14:paraId="0FCBA425">
            <w:pPr>
              <w:widowControl/>
              <w:spacing w:line="300" w:lineRule="exact"/>
              <w:jc w:val="center"/>
              <w:textAlignment w:val="center"/>
              <w:rPr>
                <w:rFonts w:hint="default" w:ascii="Times New Roman" w:hAnsi="Times New Roman" w:eastAsia="仿宋_GB2312" w:cs="Times New Roman"/>
                <w:color w:val="000000" w:themeColor="text1"/>
                <w:kern w:val="0"/>
                <w:sz w:val="21"/>
                <w:szCs w:val="21"/>
                <w:lang w:bidi="ar"/>
                <w14:textFill>
                  <w14:solidFill>
                    <w14:schemeClr w14:val="tx1"/>
                  </w14:solidFill>
                </w14:textFill>
              </w:rPr>
            </w:pPr>
          </w:p>
        </w:tc>
        <w:tc>
          <w:tcPr>
            <w:tcW w:w="1351" w:type="dxa"/>
            <w:tcBorders>
              <w:top w:val="single" w:color="auto" w:sz="4" w:space="0"/>
            </w:tcBorders>
            <w:vAlign w:val="center"/>
          </w:tcPr>
          <w:p w14:paraId="6C5DC090">
            <w:pPr>
              <w:widowControl/>
              <w:spacing w:line="300" w:lineRule="exact"/>
              <w:jc w:val="lef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sz w:val="21"/>
                <w:szCs w:val="21"/>
                <w:lang w:eastAsia="zh-CN"/>
                <w14:textFill>
                  <w14:solidFill>
                    <w14:schemeClr w14:val="tx1"/>
                  </w14:solidFill>
                </w14:textFill>
              </w:rPr>
              <w:t>减轻</w:t>
            </w:r>
            <w:r>
              <w:rPr>
                <w:rFonts w:hint="eastAsia" w:ascii="Times New Roman" w:hAnsi="Times New Roman" w:eastAsia="仿宋_GB2312" w:cs="Times New Roman"/>
                <w:color w:val="000000" w:themeColor="text1"/>
                <w:sz w:val="21"/>
                <w:szCs w:val="21"/>
                <w:lang w:eastAsia="zh-CN"/>
                <w14:textFill>
                  <w14:solidFill>
                    <w14:schemeClr w14:val="tx1"/>
                  </w14:solidFill>
                </w14:textFill>
              </w:rPr>
              <w:t>或者</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从轻处罚</w:t>
            </w:r>
          </w:p>
        </w:tc>
        <w:tc>
          <w:tcPr>
            <w:tcW w:w="3818" w:type="dxa"/>
            <w:tcBorders>
              <w:top w:val="single" w:color="auto" w:sz="4" w:space="0"/>
              <w:bottom w:val="single" w:color="auto" w:sz="4" w:space="0"/>
            </w:tcBorders>
            <w:vAlign w:val="center"/>
          </w:tcPr>
          <w:p w14:paraId="594F4AD5">
            <w:pPr>
              <w:widowControl/>
              <w:spacing w:line="300" w:lineRule="exac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同时具备以下条件：1.</w:t>
            </w:r>
            <w:r>
              <w:rPr>
                <w:rFonts w:hint="default" w:ascii="Times New Roman" w:hAnsi="Times New Roman" w:eastAsia="仿宋_GB2312" w:cs="Times New Roman"/>
                <w:snapToGrid w:val="0"/>
                <w:color w:val="000000"/>
                <w:spacing w:val="8"/>
                <w:kern w:val="0"/>
                <w:sz w:val="21"/>
                <w:szCs w:val="21"/>
              </w:rPr>
              <w:t>每年</w:t>
            </w:r>
            <w:r>
              <w:rPr>
                <w:rFonts w:hint="default" w:ascii="Times New Roman" w:hAnsi="Times New Roman" w:eastAsia="仿宋_GB2312" w:cs="Times New Roman"/>
                <w:color w:val="000000" w:themeColor="text1"/>
                <w:sz w:val="21"/>
                <w:szCs w:val="21"/>
                <w14:textFill>
                  <w14:solidFill>
                    <w14:schemeClr w14:val="tx1"/>
                  </w14:solidFill>
                </w14:textFill>
              </w:rPr>
              <w:t>开展实验动物质量检测工作，</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但</w:t>
            </w:r>
            <w:r>
              <w:rPr>
                <w:rFonts w:hint="default" w:ascii="Times New Roman" w:hAnsi="Times New Roman" w:eastAsia="仿宋_GB2312" w:cs="Times New Roman"/>
                <w:snapToGrid w:val="0"/>
                <w:color w:val="000000"/>
                <w:spacing w:val="8"/>
                <w:kern w:val="0"/>
                <w:sz w:val="21"/>
                <w:szCs w:val="21"/>
              </w:rPr>
              <w:t>检测次数少于4次（不含</w:t>
            </w:r>
            <w:r>
              <w:rPr>
                <w:rFonts w:hint="default" w:ascii="Times New Roman" w:hAnsi="Times New Roman" w:eastAsia="仿宋_GB2312" w:cs="Times New Roman"/>
                <w:snapToGrid w:val="0"/>
                <w:color w:val="000000"/>
                <w:spacing w:val="8"/>
                <w:kern w:val="0"/>
                <w:sz w:val="21"/>
                <w:szCs w:val="21"/>
                <w:lang w:val="en-US" w:eastAsia="zh-CN"/>
              </w:rPr>
              <w:t>4次</w:t>
            </w:r>
            <w:r>
              <w:rPr>
                <w:rFonts w:hint="default" w:ascii="Times New Roman" w:hAnsi="Times New Roman" w:eastAsia="仿宋_GB2312" w:cs="Times New Roman"/>
                <w:snapToGrid w:val="0"/>
                <w:color w:val="000000"/>
                <w:spacing w:val="8"/>
                <w:kern w:val="0"/>
                <w:sz w:val="21"/>
                <w:szCs w:val="21"/>
              </w:rPr>
              <w:t>）</w:t>
            </w:r>
            <w:r>
              <w:rPr>
                <w:rStyle w:val="16"/>
                <w:rFonts w:hint="default" w:ascii="Times New Roman" w:hAnsi="Times New Roman" w:eastAsia="仿宋_GB2312" w:cs="Times New Roman"/>
                <w:snapToGrid w:val="0"/>
                <w:color w:val="000000"/>
                <w:spacing w:val="8"/>
                <w:kern w:val="0"/>
                <w:sz w:val="21"/>
                <w:szCs w:val="21"/>
              </w:rPr>
              <w:footnoteReference w:id="8"/>
            </w:r>
            <w:r>
              <w:rPr>
                <w:rFonts w:hint="default" w:ascii="Times New Roman" w:hAnsi="Times New Roman" w:eastAsia="仿宋_GB2312" w:cs="Times New Roman"/>
                <w:snapToGrid w:val="0"/>
                <w:color w:val="000000"/>
                <w:spacing w:val="8"/>
                <w:kern w:val="0"/>
                <w:sz w:val="21"/>
                <w:szCs w:val="21"/>
                <w:lang w:eastAsia="zh-CN"/>
              </w:rPr>
              <w:t>或者</w:t>
            </w:r>
            <w:r>
              <w:rPr>
                <w:rFonts w:hint="default" w:ascii="Times New Roman" w:hAnsi="Times New Roman" w:eastAsia="仿宋_GB2312" w:cs="Times New Roman"/>
                <w:color w:val="000000" w:themeColor="text1"/>
                <w:sz w:val="21"/>
                <w:szCs w:val="21"/>
                <w14:textFill>
                  <w14:solidFill>
                    <w14:schemeClr w14:val="tx1"/>
                  </w14:solidFill>
                </w14:textFill>
              </w:rPr>
              <w:t>检测内容不全面</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w:t>
            </w:r>
            <w:r>
              <w:rPr>
                <w:rFonts w:hint="default" w:ascii="Times New Roman" w:hAnsi="Times New Roman" w:eastAsia="仿宋_GB2312" w:cs="Times New Roman"/>
                <w:color w:val="000000" w:themeColor="text1"/>
                <w:sz w:val="21"/>
                <w:szCs w:val="21"/>
                <w14:textFill>
                  <w14:solidFill>
                    <w14:schemeClr w14:val="tx1"/>
                  </w14:solidFill>
                </w14:textFill>
              </w:rPr>
              <w:t>2.没有造成危害后果。</w:t>
            </w:r>
          </w:p>
        </w:tc>
        <w:tc>
          <w:tcPr>
            <w:tcW w:w="2810" w:type="dxa"/>
            <w:tcBorders>
              <w:top w:val="single" w:color="auto" w:sz="4" w:space="0"/>
              <w:bottom w:val="single" w:color="auto" w:sz="4" w:space="0"/>
            </w:tcBorders>
            <w:shd w:val="clear" w:color="auto" w:fill="auto"/>
            <w:vAlign w:val="center"/>
          </w:tcPr>
          <w:p w14:paraId="442C7583">
            <w:pPr>
              <w:widowControl/>
              <w:spacing w:line="300" w:lineRule="exact"/>
              <w:jc w:val="lef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警告</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w:t>
            </w:r>
          </w:p>
        </w:tc>
        <w:tc>
          <w:tcPr>
            <w:tcW w:w="1377" w:type="dxa"/>
            <w:tcBorders>
              <w:top w:val="single" w:color="auto" w:sz="4" w:space="0"/>
              <w:bottom w:val="single" w:color="auto" w:sz="4" w:space="0"/>
            </w:tcBorders>
            <w:shd w:val="clear" w:color="auto" w:fill="auto"/>
            <w:vAlign w:val="center"/>
          </w:tcPr>
          <w:p w14:paraId="12EAC0E7">
            <w:pPr>
              <w:widowControl/>
              <w:spacing w:line="30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科技厅</w:t>
            </w:r>
          </w:p>
        </w:tc>
      </w:tr>
      <w:tr w14:paraId="6A66C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818" w:type="dxa"/>
            <w:vMerge w:val="continue"/>
            <w:vAlign w:val="center"/>
          </w:tcPr>
          <w:p w14:paraId="63FDBD69">
            <w:pPr>
              <w:widowControl/>
              <w:spacing w:after="160" w:line="278" w:lineRule="auto"/>
              <w:jc w:val="center"/>
              <w:textAlignment w:val="center"/>
              <w:rPr>
                <w:rFonts w:hint="default" w:ascii="Times New Roman" w:hAnsi="Times New Roman" w:eastAsia="仿宋_GB2312" w:cs="Times New Roman"/>
                <w:color w:val="000000" w:themeColor="text1"/>
                <w:kern w:val="0"/>
                <w:sz w:val="21"/>
                <w:szCs w:val="21"/>
                <w:lang w:bidi="ar"/>
                <w14:textFill>
                  <w14:solidFill>
                    <w14:schemeClr w14:val="tx1"/>
                  </w14:solidFill>
                </w14:textFill>
              </w:rPr>
            </w:pPr>
          </w:p>
        </w:tc>
        <w:tc>
          <w:tcPr>
            <w:tcW w:w="1337" w:type="dxa"/>
            <w:vMerge w:val="continue"/>
            <w:vAlign w:val="center"/>
          </w:tcPr>
          <w:p w14:paraId="60D3DF92">
            <w:pPr>
              <w:widowControl/>
              <w:spacing w:line="300" w:lineRule="exact"/>
              <w:jc w:val="left"/>
              <w:textAlignment w:val="center"/>
              <w:rPr>
                <w:rFonts w:hint="default" w:ascii="Times New Roman" w:hAnsi="Times New Roman" w:eastAsia="仿宋_GB2312" w:cs="Times New Roman"/>
                <w:color w:val="000000" w:themeColor="text1"/>
                <w:kern w:val="0"/>
                <w:sz w:val="21"/>
                <w:szCs w:val="21"/>
                <w:lang w:bidi="ar"/>
                <w14:textFill>
                  <w14:solidFill>
                    <w14:schemeClr w14:val="tx1"/>
                  </w14:solidFill>
                </w14:textFill>
              </w:rPr>
            </w:pPr>
          </w:p>
        </w:tc>
        <w:tc>
          <w:tcPr>
            <w:tcW w:w="3162" w:type="dxa"/>
            <w:vMerge w:val="continue"/>
            <w:vAlign w:val="center"/>
          </w:tcPr>
          <w:p w14:paraId="4FEAE187">
            <w:pPr>
              <w:widowControl/>
              <w:spacing w:line="300" w:lineRule="exact"/>
              <w:jc w:val="center"/>
              <w:textAlignment w:val="center"/>
              <w:rPr>
                <w:rFonts w:hint="default" w:ascii="Times New Roman" w:hAnsi="Times New Roman" w:eastAsia="仿宋_GB2312" w:cs="Times New Roman"/>
                <w:color w:val="000000" w:themeColor="text1"/>
                <w:kern w:val="0"/>
                <w:sz w:val="21"/>
                <w:szCs w:val="21"/>
                <w:lang w:bidi="ar"/>
                <w14:textFill>
                  <w14:solidFill>
                    <w14:schemeClr w14:val="tx1"/>
                  </w14:solidFill>
                </w14:textFill>
              </w:rPr>
            </w:pPr>
          </w:p>
        </w:tc>
        <w:tc>
          <w:tcPr>
            <w:tcW w:w="1351" w:type="dxa"/>
            <w:tcBorders>
              <w:top w:val="single" w:color="auto" w:sz="4" w:space="0"/>
              <w:bottom w:val="single" w:color="auto" w:sz="4" w:space="0"/>
            </w:tcBorders>
            <w:vAlign w:val="center"/>
          </w:tcPr>
          <w:p w14:paraId="3D91DDCE">
            <w:pPr>
              <w:widowControl/>
              <w:spacing w:line="300" w:lineRule="exact"/>
              <w:jc w:val="lef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一般</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处罚</w:t>
            </w:r>
          </w:p>
        </w:tc>
        <w:tc>
          <w:tcPr>
            <w:tcW w:w="3818" w:type="dxa"/>
            <w:tcBorders>
              <w:top w:val="single" w:color="auto" w:sz="4" w:space="0"/>
              <w:bottom w:val="single" w:color="auto" w:sz="4" w:space="0"/>
            </w:tcBorders>
            <w:vAlign w:val="center"/>
          </w:tcPr>
          <w:p w14:paraId="08E2883B">
            <w:pPr>
              <w:widowControl/>
              <w:spacing w:line="300" w:lineRule="exac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同时具备以下条件：1.超过1年未开展实验动物质量检测工作；2.没有造成危害后果。</w:t>
            </w:r>
          </w:p>
        </w:tc>
        <w:tc>
          <w:tcPr>
            <w:tcW w:w="2810" w:type="dxa"/>
            <w:tcBorders>
              <w:top w:val="single" w:color="auto" w:sz="4" w:space="0"/>
              <w:bottom w:val="single" w:color="auto" w:sz="4" w:space="0"/>
            </w:tcBorders>
            <w:shd w:val="clear" w:color="auto" w:fill="auto"/>
            <w:vAlign w:val="center"/>
          </w:tcPr>
          <w:p w14:paraId="024E27DF">
            <w:pPr>
              <w:widowControl/>
              <w:spacing w:line="300" w:lineRule="exact"/>
              <w:jc w:val="lef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限期改进</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w:t>
            </w:r>
          </w:p>
        </w:tc>
        <w:tc>
          <w:tcPr>
            <w:tcW w:w="1377" w:type="dxa"/>
            <w:tcBorders>
              <w:top w:val="single" w:color="auto" w:sz="4" w:space="0"/>
              <w:bottom w:val="single" w:color="auto" w:sz="4" w:space="0"/>
            </w:tcBorders>
            <w:shd w:val="clear" w:color="auto" w:fill="auto"/>
            <w:vAlign w:val="center"/>
          </w:tcPr>
          <w:p w14:paraId="66B53768">
            <w:pPr>
              <w:widowControl/>
              <w:spacing w:line="30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科技厅</w:t>
            </w:r>
          </w:p>
        </w:tc>
      </w:tr>
      <w:tr w14:paraId="544E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18" w:type="dxa"/>
            <w:vMerge w:val="continue"/>
            <w:vAlign w:val="center"/>
          </w:tcPr>
          <w:p w14:paraId="532D65D7">
            <w:pPr>
              <w:widowControl/>
              <w:spacing w:after="160" w:line="278" w:lineRule="auto"/>
              <w:jc w:val="center"/>
              <w:textAlignment w:val="center"/>
              <w:rPr>
                <w:rFonts w:hint="default" w:ascii="Times New Roman" w:hAnsi="Times New Roman" w:eastAsia="仿宋_GB2312" w:cs="Times New Roman"/>
                <w:color w:val="000000" w:themeColor="text1"/>
                <w:kern w:val="0"/>
                <w:sz w:val="21"/>
                <w:szCs w:val="21"/>
                <w:lang w:bidi="ar"/>
                <w14:textFill>
                  <w14:solidFill>
                    <w14:schemeClr w14:val="tx1"/>
                  </w14:solidFill>
                </w14:textFill>
              </w:rPr>
            </w:pPr>
          </w:p>
        </w:tc>
        <w:tc>
          <w:tcPr>
            <w:tcW w:w="1337" w:type="dxa"/>
            <w:vMerge w:val="continue"/>
            <w:vAlign w:val="center"/>
          </w:tcPr>
          <w:p w14:paraId="6AF88578">
            <w:pPr>
              <w:widowControl/>
              <w:spacing w:line="300" w:lineRule="exact"/>
              <w:jc w:val="left"/>
              <w:textAlignment w:val="center"/>
              <w:rPr>
                <w:rFonts w:hint="default" w:ascii="Times New Roman" w:hAnsi="Times New Roman" w:eastAsia="仿宋_GB2312" w:cs="Times New Roman"/>
                <w:color w:val="000000" w:themeColor="text1"/>
                <w:kern w:val="0"/>
                <w:sz w:val="21"/>
                <w:szCs w:val="21"/>
                <w:lang w:bidi="ar"/>
                <w14:textFill>
                  <w14:solidFill>
                    <w14:schemeClr w14:val="tx1"/>
                  </w14:solidFill>
                </w14:textFill>
              </w:rPr>
            </w:pPr>
          </w:p>
        </w:tc>
        <w:tc>
          <w:tcPr>
            <w:tcW w:w="3162" w:type="dxa"/>
            <w:vMerge w:val="continue"/>
            <w:vAlign w:val="center"/>
          </w:tcPr>
          <w:p w14:paraId="14993377">
            <w:pPr>
              <w:widowControl/>
              <w:spacing w:line="300" w:lineRule="exact"/>
              <w:jc w:val="center"/>
              <w:textAlignment w:val="center"/>
              <w:rPr>
                <w:rFonts w:hint="default" w:ascii="Times New Roman" w:hAnsi="Times New Roman" w:eastAsia="仿宋_GB2312" w:cs="Times New Roman"/>
                <w:color w:val="000000" w:themeColor="text1"/>
                <w:kern w:val="0"/>
                <w:sz w:val="21"/>
                <w:szCs w:val="21"/>
                <w:lang w:bidi="ar"/>
                <w14:textFill>
                  <w14:solidFill>
                    <w14:schemeClr w14:val="tx1"/>
                  </w14:solidFill>
                </w14:textFill>
              </w:rPr>
            </w:pPr>
          </w:p>
        </w:tc>
        <w:tc>
          <w:tcPr>
            <w:tcW w:w="1351" w:type="dxa"/>
            <w:tcBorders>
              <w:top w:val="single" w:color="auto" w:sz="4" w:space="0"/>
              <w:bottom w:val="single" w:color="auto" w:sz="4" w:space="0"/>
            </w:tcBorders>
            <w:vAlign w:val="center"/>
          </w:tcPr>
          <w:p w14:paraId="2A6044D8">
            <w:pPr>
              <w:widowControl/>
              <w:spacing w:line="300" w:lineRule="exact"/>
              <w:jc w:val="lef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从重</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处罚</w:t>
            </w:r>
          </w:p>
        </w:tc>
        <w:tc>
          <w:tcPr>
            <w:tcW w:w="3818" w:type="dxa"/>
            <w:tcBorders>
              <w:top w:val="single" w:color="auto" w:sz="4" w:space="0"/>
              <w:bottom w:val="single" w:color="auto" w:sz="4" w:space="0"/>
            </w:tcBorders>
            <w:vAlign w:val="center"/>
          </w:tcPr>
          <w:p w14:paraId="26BA4EA5">
            <w:pPr>
              <w:widowControl/>
              <w:spacing w:line="300" w:lineRule="exact"/>
              <w:textAlignment w:val="cente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同时具备以下条件：1.超过1年未开展实验动物质量检测工作；2.造成</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严重</w:t>
            </w:r>
            <w:r>
              <w:rPr>
                <w:rFonts w:hint="default" w:ascii="Times New Roman" w:hAnsi="Times New Roman" w:eastAsia="仿宋_GB2312" w:cs="Times New Roman"/>
                <w:color w:val="000000" w:themeColor="text1"/>
                <w:sz w:val="21"/>
                <w:szCs w:val="21"/>
                <w14:textFill>
                  <w14:solidFill>
                    <w14:schemeClr w14:val="tx1"/>
                  </w14:solidFill>
                </w14:textFill>
              </w:rPr>
              <w:t>危害后果。</w:t>
            </w:r>
          </w:p>
        </w:tc>
        <w:tc>
          <w:tcPr>
            <w:tcW w:w="2810" w:type="dxa"/>
            <w:tcBorders>
              <w:top w:val="single" w:color="auto" w:sz="4" w:space="0"/>
              <w:bottom w:val="single" w:color="auto" w:sz="4" w:space="0"/>
            </w:tcBorders>
            <w:vAlign w:val="center"/>
          </w:tcPr>
          <w:p w14:paraId="09545489">
            <w:pPr>
              <w:widowControl/>
              <w:spacing w:line="300" w:lineRule="exact"/>
              <w:jc w:val="lef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责令关闭</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w:t>
            </w:r>
          </w:p>
        </w:tc>
        <w:tc>
          <w:tcPr>
            <w:tcW w:w="1377" w:type="dxa"/>
            <w:tcBorders>
              <w:top w:val="single" w:color="auto" w:sz="4" w:space="0"/>
              <w:bottom w:val="single" w:color="auto" w:sz="4" w:space="0"/>
            </w:tcBorders>
            <w:vAlign w:val="center"/>
          </w:tcPr>
          <w:p w14:paraId="284166F3">
            <w:pPr>
              <w:widowControl/>
              <w:spacing w:line="30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科技厅</w:t>
            </w:r>
          </w:p>
        </w:tc>
      </w:tr>
      <w:tr w14:paraId="3798D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818" w:type="dxa"/>
            <w:vMerge w:val="restart"/>
            <w:vAlign w:val="center"/>
          </w:tcPr>
          <w:p w14:paraId="060B91BA">
            <w:pPr>
              <w:widowControl/>
              <w:spacing w:line="300" w:lineRule="exact"/>
              <w:jc w:val="center"/>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4</w:t>
            </w:r>
          </w:p>
        </w:tc>
        <w:tc>
          <w:tcPr>
            <w:tcW w:w="1337" w:type="dxa"/>
            <w:vMerge w:val="restart"/>
            <w:vAlign w:val="center"/>
          </w:tcPr>
          <w:p w14:paraId="254C5A97">
            <w:pPr>
              <w:widowControl/>
              <w:spacing w:line="30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kern w:val="0"/>
                <w:sz w:val="21"/>
                <w:szCs w:val="21"/>
                <w:lang w:bidi="ar"/>
              </w:rPr>
              <w:t>对引入的实验动物未进行隔离检疫</w:t>
            </w:r>
          </w:p>
        </w:tc>
        <w:tc>
          <w:tcPr>
            <w:tcW w:w="3162" w:type="dxa"/>
            <w:vMerge w:val="restart"/>
            <w:vAlign w:val="center"/>
          </w:tcPr>
          <w:p w14:paraId="631466FA">
            <w:pPr>
              <w:widowControl/>
              <w:spacing w:line="30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《实验动物管理条例》第十六条</w:t>
            </w:r>
            <w:r>
              <w:rPr>
                <w:rFonts w:hint="default" w:ascii="Times New Roman" w:hAnsi="Times New Roman" w:eastAsia="仿宋_GB2312" w:cs="Times New Roman"/>
                <w:color w:val="000000"/>
                <w:kern w:val="0"/>
                <w:sz w:val="21"/>
                <w:szCs w:val="21"/>
                <w:lang w:eastAsia="zh-CN" w:bidi="ar"/>
              </w:rPr>
              <w:t>：</w:t>
            </w:r>
            <w:r>
              <w:rPr>
                <w:rFonts w:hint="default" w:ascii="Times New Roman" w:hAnsi="Times New Roman" w:eastAsia="仿宋_GB2312" w:cs="Times New Roman"/>
                <w:color w:val="000000"/>
                <w:kern w:val="0"/>
                <w:sz w:val="21"/>
                <w:szCs w:val="21"/>
                <w:lang w:bidi="ar"/>
              </w:rPr>
              <w:t>对引入的实验动物，必须进行隔离检疫。为补充种源或开发新品种而捕捉的野生动物，必须在当地进行隔离检疫，并取得动物检疫部门出具的证明。</w:t>
            </w:r>
            <w:r>
              <w:rPr>
                <w:rFonts w:hint="default" w:ascii="Times New Roman" w:hAnsi="Times New Roman" w:eastAsia="仿宋_GB2312" w:cs="Times New Roman"/>
                <w:color w:val="000000"/>
                <w:kern w:val="0"/>
                <w:sz w:val="21"/>
                <w:szCs w:val="21"/>
                <w:lang w:val="en-US" w:eastAsia="zh-CN" w:bidi="ar"/>
              </w:rPr>
              <w:t>野生动物运抵实验动物处所，需经再次检疫，方可进入实验动物饲育室。</w:t>
            </w:r>
          </w:p>
          <w:p w14:paraId="278DC309">
            <w:pPr>
              <w:widowControl/>
              <w:spacing w:line="30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kern w:val="0"/>
                <w:sz w:val="21"/>
                <w:szCs w:val="21"/>
                <w:lang w:bidi="ar"/>
              </w:rPr>
              <w:t>第二十九条</w:t>
            </w:r>
            <w:r>
              <w:rPr>
                <w:rFonts w:hint="default" w:ascii="Times New Roman" w:hAnsi="Times New Roman" w:eastAsia="仿宋_GB2312" w:cs="Times New Roman"/>
                <w:color w:val="000000"/>
                <w:kern w:val="0"/>
                <w:sz w:val="21"/>
                <w:szCs w:val="21"/>
                <w:lang w:eastAsia="zh-CN" w:bidi="ar"/>
              </w:rPr>
              <w:t>：</w:t>
            </w:r>
            <w:r>
              <w:rPr>
                <w:rFonts w:hint="default" w:ascii="Times New Roman" w:hAnsi="Times New Roman" w:eastAsia="仿宋_GB2312" w:cs="Times New Roman"/>
                <w:color w:val="000000"/>
                <w:kern w:val="0"/>
                <w:sz w:val="21"/>
                <w:szCs w:val="21"/>
                <w:lang w:bidi="ar"/>
              </w:rPr>
              <w:t>对违反本条例规定的单位，由管理实验动物工作的部门视情节轻重，分别给予警告、限期改进、责令关闭的行政处罚。</w:t>
            </w:r>
          </w:p>
        </w:tc>
        <w:tc>
          <w:tcPr>
            <w:tcW w:w="1351" w:type="dxa"/>
            <w:tcBorders>
              <w:top w:val="single" w:color="auto" w:sz="4" w:space="0"/>
              <w:bottom w:val="single" w:color="auto" w:sz="4" w:space="0"/>
            </w:tcBorders>
            <w:vAlign w:val="center"/>
          </w:tcPr>
          <w:p w14:paraId="7F32013B">
            <w:pPr>
              <w:widowControl/>
              <w:spacing w:line="300" w:lineRule="exact"/>
              <w:jc w:val="lef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sz w:val="21"/>
                <w:szCs w:val="21"/>
                <w:lang w:eastAsia="zh-CN"/>
                <w14:textFill>
                  <w14:solidFill>
                    <w14:schemeClr w14:val="tx1"/>
                  </w14:solidFill>
                </w14:textFill>
              </w:rPr>
              <w:t>不予</w:t>
            </w:r>
            <w:r>
              <w:rPr>
                <w:rFonts w:hint="eastAsia" w:ascii="Times New Roman" w:hAnsi="Times New Roman" w:eastAsia="仿宋_GB2312" w:cs="Times New Roman"/>
                <w:color w:val="000000" w:themeColor="text1"/>
                <w:sz w:val="21"/>
                <w:szCs w:val="21"/>
                <w:lang w:eastAsia="zh-CN"/>
                <w14:textFill>
                  <w14:solidFill>
                    <w14:schemeClr w14:val="tx1"/>
                  </w14:solidFill>
                </w14:textFill>
              </w:rPr>
              <w:t>或者</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免予处罚</w:t>
            </w:r>
          </w:p>
        </w:tc>
        <w:tc>
          <w:tcPr>
            <w:tcW w:w="3818" w:type="dxa"/>
            <w:tcBorders>
              <w:top w:val="single" w:color="auto" w:sz="4" w:space="0"/>
              <w:bottom w:val="single" w:color="auto" w:sz="4" w:space="0"/>
            </w:tcBorders>
            <w:shd w:val="clear" w:color="auto" w:fill="auto"/>
            <w:vAlign w:val="center"/>
          </w:tcPr>
          <w:p w14:paraId="69D5B240">
            <w:pPr>
              <w:widowControl/>
              <w:spacing w:line="300" w:lineRule="exact"/>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同时具备以下条件：</w:t>
            </w:r>
            <w:r>
              <w:rPr>
                <w:rFonts w:hint="default" w:ascii="Times New Roman" w:hAnsi="Times New Roman" w:eastAsia="仿宋_GB2312" w:cs="Times New Roman"/>
                <w:color w:val="000000" w:themeColor="text1"/>
                <w:kern w:val="0"/>
                <w:sz w:val="21"/>
                <w:szCs w:val="21"/>
                <w:lang w:bidi="ar"/>
                <w14:textFill>
                  <w14:solidFill>
                    <w14:schemeClr w14:val="tx1"/>
                  </w14:solidFill>
                </w14:textFill>
              </w:rPr>
              <w:t>1.首</w:t>
            </w:r>
            <w:r>
              <w:rPr>
                <w:rFonts w:hint="default" w:ascii="Times New Roman" w:hAnsi="Times New Roman" w:eastAsia="仿宋_GB2312" w:cs="Times New Roman"/>
                <w:color w:val="000000" w:themeColor="text1"/>
                <w:sz w:val="21"/>
                <w:szCs w:val="21"/>
                <w14:textFill>
                  <w14:solidFill>
                    <w14:schemeClr w14:val="tx1"/>
                  </w14:solidFill>
                </w14:textFill>
              </w:rPr>
              <w:t>次发生此类违法行为或</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者</w:t>
            </w:r>
            <w:r>
              <w:rPr>
                <w:rFonts w:hint="default" w:ascii="Times New Roman" w:hAnsi="Times New Roman" w:eastAsia="仿宋_GB2312" w:cs="Times New Roman"/>
                <w:color w:val="000000" w:themeColor="text1"/>
                <w:sz w:val="21"/>
                <w:szCs w:val="21"/>
                <w14:textFill>
                  <w14:solidFill>
                    <w14:schemeClr w14:val="tx1"/>
                  </w14:solidFill>
                </w14:textFill>
              </w:rPr>
              <w:t>非主观故意；2.</w:t>
            </w:r>
            <w:r>
              <w:rPr>
                <w:rFonts w:hint="default" w:ascii="Times New Roman" w:hAnsi="Times New Roman" w:eastAsia="仿宋_GB2312" w:cs="Times New Roman"/>
                <w:color w:val="000000" w:themeColor="text1"/>
                <w:kern w:val="0"/>
                <w:sz w:val="21"/>
                <w:szCs w:val="21"/>
                <w:lang w:bidi="ar"/>
                <w14:textFill>
                  <w14:solidFill>
                    <w14:schemeClr w14:val="tx1"/>
                  </w14:solidFill>
                </w14:textFill>
              </w:rPr>
              <w:t>为补充种源或</w:t>
            </w:r>
            <w:r>
              <w:rPr>
                <w:rFonts w:hint="default" w:ascii="Times New Roman" w:hAnsi="Times New Roman" w:eastAsia="仿宋_GB2312" w:cs="Times New Roman"/>
                <w:color w:val="000000" w:themeColor="text1"/>
                <w:kern w:val="0"/>
                <w:sz w:val="21"/>
                <w:szCs w:val="21"/>
                <w:lang w:eastAsia="zh-CN" w:bidi="ar"/>
                <w14:textFill>
                  <w14:solidFill>
                    <w14:schemeClr w14:val="tx1"/>
                  </w14:solidFill>
                </w14:textFill>
              </w:rPr>
              <w:t>者</w:t>
            </w:r>
            <w:r>
              <w:rPr>
                <w:rFonts w:hint="default" w:ascii="Times New Roman" w:hAnsi="Times New Roman" w:eastAsia="仿宋_GB2312" w:cs="Times New Roman"/>
                <w:color w:val="000000" w:themeColor="text1"/>
                <w:kern w:val="0"/>
                <w:sz w:val="21"/>
                <w:szCs w:val="21"/>
                <w:lang w:bidi="ar"/>
                <w14:textFill>
                  <w14:solidFill>
                    <w14:schemeClr w14:val="tx1"/>
                  </w14:solidFill>
                </w14:textFill>
              </w:rPr>
              <w:t>开发新品种而捕捉的野生动物，在当地进行隔离检疫后运抵实验动物处所时，未经再次检疫进入实验动物饲育室</w:t>
            </w:r>
            <w:r>
              <w:rPr>
                <w:rFonts w:hint="default" w:ascii="Times New Roman" w:hAnsi="Times New Roman" w:eastAsia="仿宋_GB2312" w:cs="Times New Roman"/>
                <w:color w:val="000000" w:themeColor="text1"/>
                <w:kern w:val="0"/>
                <w:sz w:val="21"/>
                <w:szCs w:val="21"/>
                <w:lang w:eastAsia="zh-CN" w:bidi="ar"/>
                <w14:textFill>
                  <w14:solidFill>
                    <w14:schemeClr w14:val="tx1"/>
                  </w14:solidFill>
                </w14:textFill>
              </w:rPr>
              <w:t>；</w:t>
            </w:r>
            <w:r>
              <w:rPr>
                <w:rFonts w:hint="default" w:ascii="Times New Roman" w:hAnsi="Times New Roman" w:eastAsia="仿宋_GB2312" w:cs="Times New Roman"/>
                <w:color w:val="000000" w:themeColor="text1"/>
                <w:kern w:val="0"/>
                <w:sz w:val="21"/>
                <w:szCs w:val="21"/>
                <w:lang w:bidi="ar"/>
                <w14:textFill>
                  <w14:solidFill>
                    <w14:schemeClr w14:val="tx1"/>
                  </w14:solidFill>
                </w14:textFill>
              </w:rPr>
              <w:t>或</w:t>
            </w:r>
            <w:r>
              <w:rPr>
                <w:rFonts w:hint="default" w:ascii="Times New Roman" w:hAnsi="Times New Roman" w:eastAsia="仿宋_GB2312" w:cs="Times New Roman"/>
                <w:color w:val="000000" w:themeColor="text1"/>
                <w:kern w:val="0"/>
                <w:sz w:val="21"/>
                <w:szCs w:val="21"/>
                <w:lang w:eastAsia="zh-CN" w:bidi="ar"/>
                <w14:textFill>
                  <w14:solidFill>
                    <w14:schemeClr w14:val="tx1"/>
                  </w14:solidFill>
                </w14:textFill>
              </w:rPr>
              <w:t>者</w:t>
            </w:r>
            <w:r>
              <w:rPr>
                <w:rFonts w:hint="default" w:ascii="Times New Roman" w:hAnsi="Times New Roman" w:eastAsia="仿宋_GB2312" w:cs="Times New Roman"/>
                <w:color w:val="000000" w:themeColor="text1"/>
                <w:kern w:val="0"/>
                <w:sz w:val="21"/>
                <w:szCs w:val="21"/>
                <w:lang w:bidi="ar"/>
                <w14:textFill>
                  <w14:solidFill>
                    <w14:schemeClr w14:val="tx1"/>
                  </w14:solidFill>
                </w14:textFill>
              </w:rPr>
              <w:t>未在当地进行隔离检疫，运抵实验动物处所时经检疫进入实验动物饲育室；</w:t>
            </w:r>
            <w:r>
              <w:rPr>
                <w:rFonts w:hint="default" w:ascii="Times New Roman" w:hAnsi="Times New Roman" w:eastAsia="仿宋_GB2312" w:cs="Times New Roman"/>
                <w:color w:val="000000" w:themeColor="text1"/>
                <w:sz w:val="21"/>
                <w:szCs w:val="21"/>
                <w14:textFill>
                  <w14:solidFill>
                    <w14:schemeClr w14:val="tx1"/>
                  </w14:solidFill>
                </w14:textFill>
              </w:rPr>
              <w:t>3.没有造成危害后果。</w:t>
            </w:r>
          </w:p>
        </w:tc>
        <w:tc>
          <w:tcPr>
            <w:tcW w:w="2810" w:type="dxa"/>
            <w:tcBorders>
              <w:top w:val="single" w:color="auto" w:sz="4" w:space="0"/>
              <w:bottom w:val="single" w:color="auto" w:sz="4" w:space="0"/>
            </w:tcBorders>
            <w:shd w:val="clear" w:color="auto" w:fill="auto"/>
            <w:vAlign w:val="center"/>
          </w:tcPr>
          <w:p w14:paraId="34955E24">
            <w:pPr>
              <w:widowControl/>
              <w:spacing w:line="30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p>
        </w:tc>
        <w:tc>
          <w:tcPr>
            <w:tcW w:w="1377" w:type="dxa"/>
            <w:tcBorders>
              <w:top w:val="single" w:color="auto" w:sz="4" w:space="0"/>
              <w:bottom w:val="single" w:color="auto" w:sz="4" w:space="0"/>
            </w:tcBorders>
            <w:shd w:val="clear" w:color="auto" w:fill="auto"/>
            <w:vAlign w:val="center"/>
          </w:tcPr>
          <w:p w14:paraId="68426906">
            <w:pPr>
              <w:widowControl/>
              <w:spacing w:line="30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科技厅</w:t>
            </w:r>
          </w:p>
        </w:tc>
      </w:tr>
      <w:tr w14:paraId="7715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818" w:type="dxa"/>
            <w:vMerge w:val="continue"/>
            <w:vAlign w:val="center"/>
          </w:tcPr>
          <w:p w14:paraId="590BEE77">
            <w:pPr>
              <w:widowControl/>
              <w:spacing w:line="300" w:lineRule="exact"/>
              <w:jc w:val="center"/>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p>
        </w:tc>
        <w:tc>
          <w:tcPr>
            <w:tcW w:w="1337" w:type="dxa"/>
            <w:vMerge w:val="continue"/>
            <w:vAlign w:val="center"/>
          </w:tcPr>
          <w:p w14:paraId="01FD44B9">
            <w:pPr>
              <w:widowControl/>
              <w:spacing w:line="300" w:lineRule="exact"/>
              <w:jc w:val="center"/>
              <w:textAlignment w:val="center"/>
              <w:rPr>
                <w:rFonts w:hint="default" w:ascii="Times New Roman" w:hAnsi="Times New Roman" w:eastAsia="仿宋_GB2312" w:cs="Times New Roman"/>
                <w:color w:val="000000"/>
                <w:kern w:val="0"/>
                <w:sz w:val="21"/>
                <w:szCs w:val="21"/>
                <w:lang w:bidi="ar"/>
              </w:rPr>
            </w:pPr>
          </w:p>
        </w:tc>
        <w:tc>
          <w:tcPr>
            <w:tcW w:w="3162" w:type="dxa"/>
            <w:vMerge w:val="continue"/>
            <w:vAlign w:val="center"/>
          </w:tcPr>
          <w:p w14:paraId="242ED7A1">
            <w:pPr>
              <w:widowControl/>
              <w:spacing w:line="300" w:lineRule="exact"/>
              <w:jc w:val="center"/>
              <w:textAlignment w:val="center"/>
              <w:rPr>
                <w:rFonts w:hint="default" w:ascii="Times New Roman" w:hAnsi="Times New Roman" w:eastAsia="仿宋_GB2312" w:cs="Times New Roman"/>
                <w:color w:val="000000"/>
                <w:kern w:val="0"/>
                <w:sz w:val="21"/>
                <w:szCs w:val="21"/>
                <w:lang w:bidi="ar"/>
              </w:rPr>
            </w:pPr>
          </w:p>
        </w:tc>
        <w:tc>
          <w:tcPr>
            <w:tcW w:w="1351" w:type="dxa"/>
            <w:tcBorders>
              <w:top w:val="single" w:color="auto" w:sz="4" w:space="0"/>
              <w:bottom w:val="single" w:color="auto" w:sz="4" w:space="0"/>
            </w:tcBorders>
            <w:vAlign w:val="center"/>
          </w:tcPr>
          <w:p w14:paraId="6F7BED06">
            <w:pPr>
              <w:widowControl/>
              <w:spacing w:line="300" w:lineRule="exact"/>
              <w:jc w:val="lef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sz w:val="21"/>
                <w:szCs w:val="21"/>
                <w:lang w:eastAsia="zh-CN"/>
                <w14:textFill>
                  <w14:solidFill>
                    <w14:schemeClr w14:val="tx1"/>
                  </w14:solidFill>
                </w14:textFill>
              </w:rPr>
              <w:t>减轻</w:t>
            </w:r>
            <w:r>
              <w:rPr>
                <w:rFonts w:hint="eastAsia" w:ascii="Times New Roman" w:hAnsi="Times New Roman" w:eastAsia="仿宋_GB2312" w:cs="Times New Roman"/>
                <w:color w:val="000000" w:themeColor="text1"/>
                <w:sz w:val="21"/>
                <w:szCs w:val="21"/>
                <w:lang w:eastAsia="zh-CN"/>
                <w14:textFill>
                  <w14:solidFill>
                    <w14:schemeClr w14:val="tx1"/>
                  </w14:solidFill>
                </w14:textFill>
              </w:rPr>
              <w:t>或者</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从轻处罚</w:t>
            </w:r>
          </w:p>
        </w:tc>
        <w:tc>
          <w:tcPr>
            <w:tcW w:w="3818" w:type="dxa"/>
            <w:tcBorders>
              <w:top w:val="single" w:color="auto" w:sz="4" w:space="0"/>
              <w:bottom w:val="single" w:color="auto" w:sz="4" w:space="0"/>
            </w:tcBorders>
            <w:shd w:val="clear" w:color="auto" w:fill="auto"/>
            <w:vAlign w:val="center"/>
          </w:tcPr>
          <w:p w14:paraId="1471A29E">
            <w:pPr>
              <w:widowControl/>
              <w:spacing w:line="300" w:lineRule="exact"/>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同时具备以下条件：1.</w:t>
            </w:r>
            <w:r>
              <w:rPr>
                <w:rFonts w:hint="default" w:ascii="Times New Roman" w:hAnsi="Times New Roman" w:eastAsia="仿宋_GB2312" w:cs="Times New Roman"/>
                <w:color w:val="000000" w:themeColor="text1"/>
                <w:kern w:val="0"/>
                <w:sz w:val="21"/>
                <w:szCs w:val="21"/>
                <w:lang w:bidi="ar"/>
                <w14:textFill>
                  <w14:solidFill>
                    <w14:schemeClr w14:val="tx1"/>
                  </w14:solidFill>
                </w14:textFill>
              </w:rPr>
              <w:t>为补充种源或</w:t>
            </w:r>
            <w:r>
              <w:rPr>
                <w:rFonts w:hint="default" w:ascii="Times New Roman" w:hAnsi="Times New Roman" w:eastAsia="仿宋_GB2312" w:cs="Times New Roman"/>
                <w:color w:val="000000" w:themeColor="text1"/>
                <w:kern w:val="0"/>
                <w:sz w:val="21"/>
                <w:szCs w:val="21"/>
                <w:lang w:eastAsia="zh-CN" w:bidi="ar"/>
                <w14:textFill>
                  <w14:solidFill>
                    <w14:schemeClr w14:val="tx1"/>
                  </w14:solidFill>
                </w14:textFill>
              </w:rPr>
              <w:t>者</w:t>
            </w:r>
            <w:r>
              <w:rPr>
                <w:rFonts w:hint="default" w:ascii="Times New Roman" w:hAnsi="Times New Roman" w:eastAsia="仿宋_GB2312" w:cs="Times New Roman"/>
                <w:color w:val="000000" w:themeColor="text1"/>
                <w:kern w:val="0"/>
                <w:sz w:val="21"/>
                <w:szCs w:val="21"/>
                <w:lang w:bidi="ar"/>
                <w14:textFill>
                  <w14:solidFill>
                    <w14:schemeClr w14:val="tx1"/>
                  </w14:solidFill>
                </w14:textFill>
              </w:rPr>
              <w:t>开发新品种而捕捉的野生动物，在当地进行隔离检疫后运抵实验动物处所时，未经再次检疫进入实验动物饲育室</w:t>
            </w:r>
            <w:r>
              <w:rPr>
                <w:rFonts w:hint="default" w:ascii="Times New Roman" w:hAnsi="Times New Roman" w:eastAsia="仿宋_GB2312" w:cs="Times New Roman"/>
                <w:color w:val="000000" w:themeColor="text1"/>
                <w:kern w:val="0"/>
                <w:sz w:val="21"/>
                <w:szCs w:val="21"/>
                <w:lang w:eastAsia="zh-CN" w:bidi="ar"/>
                <w14:textFill>
                  <w14:solidFill>
                    <w14:schemeClr w14:val="tx1"/>
                  </w14:solidFill>
                </w14:textFill>
              </w:rPr>
              <w:t>；</w:t>
            </w:r>
            <w:r>
              <w:rPr>
                <w:rFonts w:hint="default" w:ascii="Times New Roman" w:hAnsi="Times New Roman" w:eastAsia="仿宋_GB2312" w:cs="Times New Roman"/>
                <w:color w:val="000000" w:themeColor="text1"/>
                <w:kern w:val="0"/>
                <w:sz w:val="21"/>
                <w:szCs w:val="21"/>
                <w:lang w:bidi="ar"/>
                <w14:textFill>
                  <w14:solidFill>
                    <w14:schemeClr w14:val="tx1"/>
                  </w14:solidFill>
                </w14:textFill>
              </w:rPr>
              <w:t>或</w:t>
            </w:r>
            <w:r>
              <w:rPr>
                <w:rFonts w:hint="default" w:ascii="Times New Roman" w:hAnsi="Times New Roman" w:eastAsia="仿宋_GB2312" w:cs="Times New Roman"/>
                <w:color w:val="000000" w:themeColor="text1"/>
                <w:kern w:val="0"/>
                <w:sz w:val="21"/>
                <w:szCs w:val="21"/>
                <w:lang w:eastAsia="zh-CN" w:bidi="ar"/>
                <w14:textFill>
                  <w14:solidFill>
                    <w14:schemeClr w14:val="tx1"/>
                  </w14:solidFill>
                </w14:textFill>
              </w:rPr>
              <w:t>者</w:t>
            </w:r>
            <w:r>
              <w:rPr>
                <w:rFonts w:hint="default" w:ascii="Times New Roman" w:hAnsi="Times New Roman" w:eastAsia="仿宋_GB2312" w:cs="Times New Roman"/>
                <w:color w:val="000000" w:themeColor="text1"/>
                <w:kern w:val="0"/>
                <w:sz w:val="21"/>
                <w:szCs w:val="21"/>
                <w:lang w:bidi="ar"/>
                <w14:textFill>
                  <w14:solidFill>
                    <w14:schemeClr w14:val="tx1"/>
                  </w14:solidFill>
                </w14:textFill>
              </w:rPr>
              <w:t>未在当地进行隔离检疫，运抵实验动物处所时经检疫进入实验动物饲育室；</w:t>
            </w:r>
            <w:r>
              <w:rPr>
                <w:rFonts w:hint="default" w:ascii="Times New Roman" w:hAnsi="Times New Roman" w:eastAsia="仿宋_GB2312" w:cs="Times New Roman"/>
                <w:color w:val="000000" w:themeColor="text1"/>
                <w:sz w:val="21"/>
                <w:szCs w:val="21"/>
                <w14:textFill>
                  <w14:solidFill>
                    <w14:schemeClr w14:val="tx1"/>
                  </w14:solidFill>
                </w14:textFill>
              </w:rPr>
              <w:t>2.没有造成危害后果。</w:t>
            </w:r>
          </w:p>
        </w:tc>
        <w:tc>
          <w:tcPr>
            <w:tcW w:w="2810" w:type="dxa"/>
            <w:tcBorders>
              <w:top w:val="single" w:color="auto" w:sz="4" w:space="0"/>
              <w:bottom w:val="single" w:color="auto" w:sz="4" w:space="0"/>
            </w:tcBorders>
            <w:shd w:val="clear" w:color="auto" w:fill="auto"/>
            <w:vAlign w:val="center"/>
          </w:tcPr>
          <w:p w14:paraId="6EA51D85">
            <w:pPr>
              <w:widowControl/>
              <w:spacing w:line="30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警告</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w:t>
            </w:r>
          </w:p>
        </w:tc>
        <w:tc>
          <w:tcPr>
            <w:tcW w:w="1377" w:type="dxa"/>
            <w:tcBorders>
              <w:top w:val="single" w:color="auto" w:sz="4" w:space="0"/>
              <w:bottom w:val="single" w:color="auto" w:sz="4" w:space="0"/>
            </w:tcBorders>
            <w:shd w:val="clear" w:color="auto" w:fill="auto"/>
            <w:vAlign w:val="center"/>
          </w:tcPr>
          <w:p w14:paraId="15FCAAAC">
            <w:pPr>
              <w:widowControl/>
              <w:spacing w:line="30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科技厅</w:t>
            </w:r>
          </w:p>
        </w:tc>
      </w:tr>
      <w:tr w14:paraId="7C8A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18" w:type="dxa"/>
            <w:vMerge w:val="continue"/>
            <w:vAlign w:val="center"/>
          </w:tcPr>
          <w:p w14:paraId="7B0B8669">
            <w:pPr>
              <w:widowControl/>
              <w:spacing w:line="300" w:lineRule="exact"/>
              <w:jc w:val="center"/>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p>
        </w:tc>
        <w:tc>
          <w:tcPr>
            <w:tcW w:w="1337" w:type="dxa"/>
            <w:vMerge w:val="continue"/>
            <w:vAlign w:val="center"/>
          </w:tcPr>
          <w:p w14:paraId="540C4104">
            <w:pPr>
              <w:widowControl/>
              <w:spacing w:line="300" w:lineRule="exact"/>
              <w:jc w:val="center"/>
              <w:textAlignment w:val="center"/>
              <w:rPr>
                <w:rFonts w:hint="default" w:ascii="Times New Roman" w:hAnsi="Times New Roman" w:eastAsia="仿宋_GB2312" w:cs="Times New Roman"/>
                <w:color w:val="000000"/>
                <w:kern w:val="0"/>
                <w:sz w:val="21"/>
                <w:szCs w:val="21"/>
                <w:lang w:bidi="ar"/>
              </w:rPr>
            </w:pPr>
          </w:p>
        </w:tc>
        <w:tc>
          <w:tcPr>
            <w:tcW w:w="3162" w:type="dxa"/>
            <w:vMerge w:val="continue"/>
            <w:vAlign w:val="center"/>
          </w:tcPr>
          <w:p w14:paraId="121E7328">
            <w:pPr>
              <w:widowControl/>
              <w:spacing w:line="300" w:lineRule="exact"/>
              <w:jc w:val="center"/>
              <w:textAlignment w:val="center"/>
              <w:rPr>
                <w:rFonts w:hint="default" w:ascii="Times New Roman" w:hAnsi="Times New Roman" w:eastAsia="仿宋_GB2312" w:cs="Times New Roman"/>
                <w:color w:val="000000"/>
                <w:kern w:val="0"/>
                <w:sz w:val="21"/>
                <w:szCs w:val="21"/>
                <w:lang w:bidi="ar"/>
              </w:rPr>
            </w:pPr>
          </w:p>
        </w:tc>
        <w:tc>
          <w:tcPr>
            <w:tcW w:w="1351" w:type="dxa"/>
            <w:tcBorders>
              <w:top w:val="single" w:color="auto" w:sz="4" w:space="0"/>
              <w:bottom w:val="single" w:color="auto" w:sz="4" w:space="0"/>
            </w:tcBorders>
            <w:vAlign w:val="center"/>
          </w:tcPr>
          <w:p w14:paraId="5869AD3E">
            <w:pPr>
              <w:widowControl/>
              <w:spacing w:line="300" w:lineRule="exact"/>
              <w:jc w:val="lef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一般</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处罚</w:t>
            </w:r>
          </w:p>
        </w:tc>
        <w:tc>
          <w:tcPr>
            <w:tcW w:w="3818" w:type="dxa"/>
            <w:tcBorders>
              <w:top w:val="single" w:color="auto" w:sz="4" w:space="0"/>
              <w:bottom w:val="single" w:color="auto" w:sz="4" w:space="0"/>
            </w:tcBorders>
            <w:shd w:val="clear" w:color="auto" w:fill="auto"/>
            <w:vAlign w:val="center"/>
          </w:tcPr>
          <w:p w14:paraId="668D4B51">
            <w:pPr>
              <w:widowControl/>
              <w:spacing w:line="300" w:lineRule="exact"/>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同时具备以下条件：1.</w:t>
            </w:r>
            <w:r>
              <w:rPr>
                <w:rFonts w:hint="default" w:ascii="Times New Roman" w:hAnsi="Times New Roman" w:eastAsia="仿宋_GB2312" w:cs="Times New Roman"/>
                <w:color w:val="000000"/>
                <w:kern w:val="0"/>
                <w:sz w:val="21"/>
                <w:szCs w:val="21"/>
                <w:lang w:bidi="ar"/>
              </w:rPr>
              <w:t>对引入的实验动物，</w:t>
            </w:r>
            <w:r>
              <w:rPr>
                <w:rFonts w:hint="default" w:ascii="Times New Roman" w:hAnsi="Times New Roman" w:eastAsia="仿宋_GB2312" w:cs="Times New Roman"/>
                <w:color w:val="000000"/>
                <w:kern w:val="0"/>
                <w:sz w:val="21"/>
                <w:szCs w:val="21"/>
                <w:lang w:eastAsia="zh-CN" w:bidi="ar"/>
              </w:rPr>
              <w:t>未</w:t>
            </w:r>
            <w:r>
              <w:rPr>
                <w:rFonts w:hint="default" w:ascii="Times New Roman" w:hAnsi="Times New Roman" w:eastAsia="仿宋_GB2312" w:cs="Times New Roman"/>
                <w:color w:val="000000"/>
                <w:kern w:val="0"/>
                <w:sz w:val="21"/>
                <w:szCs w:val="21"/>
                <w:lang w:bidi="ar"/>
              </w:rPr>
              <w:t>进行隔离检疫</w:t>
            </w:r>
            <w:r>
              <w:rPr>
                <w:rFonts w:hint="default" w:ascii="Times New Roman" w:hAnsi="Times New Roman" w:eastAsia="仿宋_GB2312" w:cs="Times New Roman"/>
                <w:color w:val="000000" w:themeColor="text1"/>
                <w:kern w:val="0"/>
                <w:sz w:val="21"/>
                <w:szCs w:val="21"/>
                <w:lang w:bidi="ar"/>
                <w14:textFill>
                  <w14:solidFill>
                    <w14:schemeClr w14:val="tx1"/>
                  </w14:solidFill>
                </w14:textFill>
              </w:rPr>
              <w:t>；</w:t>
            </w:r>
            <w:r>
              <w:rPr>
                <w:rFonts w:hint="default" w:ascii="Times New Roman" w:hAnsi="Times New Roman" w:eastAsia="仿宋_GB2312" w:cs="Times New Roman"/>
                <w:color w:val="000000" w:themeColor="text1"/>
                <w:sz w:val="21"/>
                <w:szCs w:val="21"/>
                <w14:textFill>
                  <w14:solidFill>
                    <w14:schemeClr w14:val="tx1"/>
                  </w14:solidFill>
                </w14:textFill>
              </w:rPr>
              <w:t>2.没有造成危害后果。</w:t>
            </w:r>
          </w:p>
        </w:tc>
        <w:tc>
          <w:tcPr>
            <w:tcW w:w="2810" w:type="dxa"/>
            <w:tcBorders>
              <w:top w:val="single" w:color="auto" w:sz="4" w:space="0"/>
              <w:bottom w:val="single" w:color="auto" w:sz="4" w:space="0"/>
            </w:tcBorders>
            <w:shd w:val="clear" w:color="auto" w:fill="auto"/>
            <w:vAlign w:val="center"/>
          </w:tcPr>
          <w:p w14:paraId="1BC06965">
            <w:pPr>
              <w:widowControl/>
              <w:spacing w:line="30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限期改进</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w:t>
            </w:r>
          </w:p>
        </w:tc>
        <w:tc>
          <w:tcPr>
            <w:tcW w:w="1377" w:type="dxa"/>
            <w:tcBorders>
              <w:top w:val="single" w:color="auto" w:sz="4" w:space="0"/>
              <w:bottom w:val="single" w:color="auto" w:sz="4" w:space="0"/>
            </w:tcBorders>
            <w:shd w:val="clear" w:color="auto" w:fill="auto"/>
            <w:vAlign w:val="center"/>
          </w:tcPr>
          <w:p w14:paraId="00CB7BFE">
            <w:pPr>
              <w:widowControl/>
              <w:spacing w:line="30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科技厅</w:t>
            </w:r>
          </w:p>
        </w:tc>
      </w:tr>
      <w:tr w14:paraId="4D7E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8" w:type="dxa"/>
            <w:vMerge w:val="continue"/>
            <w:vAlign w:val="center"/>
          </w:tcPr>
          <w:p w14:paraId="14AE1D18">
            <w:pPr>
              <w:widowControl/>
              <w:spacing w:line="300" w:lineRule="exact"/>
              <w:jc w:val="center"/>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p>
        </w:tc>
        <w:tc>
          <w:tcPr>
            <w:tcW w:w="1337" w:type="dxa"/>
            <w:vMerge w:val="continue"/>
            <w:vAlign w:val="center"/>
          </w:tcPr>
          <w:p w14:paraId="07A1B75E">
            <w:pPr>
              <w:widowControl/>
              <w:spacing w:line="300" w:lineRule="exact"/>
              <w:jc w:val="center"/>
              <w:textAlignment w:val="center"/>
              <w:rPr>
                <w:rFonts w:hint="default" w:ascii="Times New Roman" w:hAnsi="Times New Roman" w:eastAsia="仿宋_GB2312" w:cs="Times New Roman"/>
                <w:color w:val="000000"/>
                <w:kern w:val="0"/>
                <w:sz w:val="21"/>
                <w:szCs w:val="21"/>
                <w:lang w:bidi="ar"/>
              </w:rPr>
            </w:pPr>
          </w:p>
        </w:tc>
        <w:tc>
          <w:tcPr>
            <w:tcW w:w="3162" w:type="dxa"/>
            <w:vMerge w:val="continue"/>
            <w:vAlign w:val="center"/>
          </w:tcPr>
          <w:p w14:paraId="1573D2EA">
            <w:pPr>
              <w:widowControl/>
              <w:spacing w:line="300" w:lineRule="exact"/>
              <w:jc w:val="center"/>
              <w:textAlignment w:val="center"/>
              <w:rPr>
                <w:rFonts w:hint="default" w:ascii="Times New Roman" w:hAnsi="Times New Roman" w:eastAsia="仿宋_GB2312" w:cs="Times New Roman"/>
                <w:color w:val="000000"/>
                <w:kern w:val="0"/>
                <w:sz w:val="21"/>
                <w:szCs w:val="21"/>
                <w:lang w:bidi="ar"/>
              </w:rPr>
            </w:pPr>
          </w:p>
        </w:tc>
        <w:tc>
          <w:tcPr>
            <w:tcW w:w="1351" w:type="dxa"/>
            <w:tcBorders>
              <w:top w:val="single" w:color="auto" w:sz="4" w:space="0"/>
              <w:bottom w:val="single" w:color="auto" w:sz="4" w:space="0"/>
            </w:tcBorders>
            <w:vAlign w:val="center"/>
          </w:tcPr>
          <w:p w14:paraId="147215E7">
            <w:pPr>
              <w:widowControl/>
              <w:spacing w:line="300" w:lineRule="exact"/>
              <w:jc w:val="lef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从重</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处罚</w:t>
            </w:r>
          </w:p>
        </w:tc>
        <w:tc>
          <w:tcPr>
            <w:tcW w:w="3818" w:type="dxa"/>
            <w:tcBorders>
              <w:top w:val="single" w:color="auto" w:sz="4" w:space="0"/>
              <w:bottom w:val="single" w:color="auto" w:sz="4" w:space="0"/>
            </w:tcBorders>
            <w:shd w:val="clear" w:color="auto" w:fill="auto"/>
            <w:vAlign w:val="center"/>
          </w:tcPr>
          <w:p w14:paraId="52B03189">
            <w:pPr>
              <w:widowControl/>
              <w:spacing w:line="300" w:lineRule="exact"/>
              <w:textAlignment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0"/>
                <w:sz w:val="21"/>
                <w:szCs w:val="21"/>
                <w:lang w:bidi="ar"/>
                <w14:textFill>
                  <w14:solidFill>
                    <w14:schemeClr w14:val="tx1"/>
                  </w14:solidFill>
                </w14:textFill>
              </w:rPr>
              <w:t>对引入的实验动物</w:t>
            </w:r>
            <w:r>
              <w:rPr>
                <w:rFonts w:hint="default" w:ascii="Times New Roman" w:hAnsi="Times New Roman" w:eastAsia="仿宋_GB2312" w:cs="Times New Roman"/>
                <w:color w:val="000000" w:themeColor="text1"/>
                <w:kern w:val="0"/>
                <w:sz w:val="21"/>
                <w:szCs w:val="21"/>
                <w:lang w:eastAsia="zh-CN" w:bidi="ar"/>
                <w14:textFill>
                  <w14:solidFill>
                    <w14:schemeClr w14:val="tx1"/>
                  </w14:solidFill>
                </w14:textFill>
              </w:rPr>
              <w:t>，</w:t>
            </w:r>
            <w:r>
              <w:rPr>
                <w:rFonts w:hint="default" w:ascii="Times New Roman" w:hAnsi="Times New Roman" w:eastAsia="仿宋_GB2312" w:cs="Times New Roman"/>
                <w:color w:val="000000" w:themeColor="text1"/>
                <w:kern w:val="0"/>
                <w:sz w:val="21"/>
                <w:szCs w:val="21"/>
                <w:lang w:bidi="ar"/>
                <w14:textFill>
                  <w14:solidFill>
                    <w14:schemeClr w14:val="tx1"/>
                  </w14:solidFill>
                </w14:textFill>
              </w:rPr>
              <w:t>因未隔离检疫导致出现疫情、传染性疾病等严重后果。</w:t>
            </w:r>
          </w:p>
        </w:tc>
        <w:tc>
          <w:tcPr>
            <w:tcW w:w="2810" w:type="dxa"/>
            <w:tcBorders>
              <w:top w:val="single" w:color="auto" w:sz="4" w:space="0"/>
              <w:bottom w:val="single" w:color="auto" w:sz="4" w:space="0"/>
            </w:tcBorders>
            <w:shd w:val="clear" w:color="auto" w:fill="auto"/>
            <w:vAlign w:val="center"/>
          </w:tcPr>
          <w:p w14:paraId="35D9AE9D">
            <w:pPr>
              <w:widowControl/>
              <w:spacing w:line="30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责令关闭</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w:t>
            </w:r>
          </w:p>
        </w:tc>
        <w:tc>
          <w:tcPr>
            <w:tcW w:w="1377" w:type="dxa"/>
            <w:tcBorders>
              <w:top w:val="single" w:color="auto" w:sz="4" w:space="0"/>
              <w:bottom w:val="single" w:color="auto" w:sz="4" w:space="0"/>
            </w:tcBorders>
            <w:shd w:val="clear" w:color="auto" w:fill="auto"/>
            <w:vAlign w:val="center"/>
          </w:tcPr>
          <w:p w14:paraId="3AAAC569">
            <w:pPr>
              <w:widowControl/>
              <w:spacing w:line="30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科技厅</w:t>
            </w:r>
          </w:p>
        </w:tc>
      </w:tr>
      <w:tr w14:paraId="2CE7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673" w:type="dxa"/>
            <w:gridSpan w:val="7"/>
            <w:vAlign w:val="center"/>
          </w:tcPr>
          <w:p w14:paraId="47E35380">
            <w:pPr>
              <w:widowControl/>
              <w:spacing w:line="300" w:lineRule="exact"/>
              <w:jc w:val="left"/>
              <w:textAlignment w:val="center"/>
              <w:rPr>
                <w:rFonts w:hint="default" w:ascii="Times New Roman" w:hAnsi="Times New Roman" w:eastAsia="仿宋_GB2312" w:cs="Times New Roman"/>
                <w:sz w:val="21"/>
                <w:szCs w:val="21"/>
                <w:lang w:eastAsia="zh-CN"/>
              </w:rPr>
            </w:pPr>
            <w:r>
              <w:rPr>
                <w:rFonts w:hint="eastAsia" w:ascii="楷体_GB2312" w:hAnsi="楷体_GB2312" w:eastAsia="楷体_GB2312" w:cs="楷体_GB2312"/>
                <w:b/>
                <w:bCs/>
                <w:sz w:val="21"/>
                <w:szCs w:val="21"/>
                <w:lang w:eastAsia="zh-CN"/>
              </w:rPr>
              <w:t>二、成果转化领域</w:t>
            </w:r>
          </w:p>
        </w:tc>
      </w:tr>
      <w:tr w14:paraId="4BCB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818" w:type="dxa"/>
            <w:vMerge w:val="restart"/>
            <w:vAlign w:val="center"/>
          </w:tcPr>
          <w:p w14:paraId="0EA664F6">
            <w:pPr>
              <w:pStyle w:val="4"/>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5</w:t>
            </w:r>
          </w:p>
        </w:tc>
        <w:tc>
          <w:tcPr>
            <w:tcW w:w="1337" w:type="dxa"/>
            <w:vMerge w:val="restart"/>
            <w:vAlign w:val="center"/>
          </w:tcPr>
          <w:p w14:paraId="50C999D8">
            <w:pPr>
              <w:widowControl/>
              <w:spacing w:line="300" w:lineRule="exact"/>
              <w:jc w:val="both"/>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在成果转化服务中故意提供虚假信息、实验结果或者评估意见欺骗当事人，或者与一方当事人串通欺骗另一方当事人</w:t>
            </w:r>
          </w:p>
        </w:tc>
        <w:tc>
          <w:tcPr>
            <w:tcW w:w="3162" w:type="dxa"/>
            <w:vMerge w:val="restart"/>
            <w:vAlign w:val="center"/>
          </w:tcPr>
          <w:p w14:paraId="1564FE8F">
            <w:pPr>
              <w:widowControl/>
              <w:spacing w:line="300" w:lineRule="exact"/>
              <w:jc w:val="both"/>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四川省促进科技成果转化条例》第七十三条：科技成果转化服务机构及其从业人员在从业中故意提供虚假信息、实验结果或者评估意见等欺骗当事人，或者与当事人一方串通欺骗另一方当事人的，由科学技术行政部门或者有关部门依照管理职责责令改正，没收违法所得，并处以违法所得一倍以上三倍以下的罚款；没有违法所得的，处以五万元以上十万元以下的罚款；情节严重的，由工商行政管理部门按照《中华人民共和国促进科技成果转化法》第四十八条的规定吊销营业执照。给他人造成经济损失的，依法承担民事赔偿责任；构成犯罪的，依法追究刑事责任。</w:t>
            </w:r>
          </w:p>
        </w:tc>
        <w:tc>
          <w:tcPr>
            <w:tcW w:w="1351" w:type="dxa"/>
            <w:tcBorders>
              <w:top w:val="single" w:color="auto" w:sz="4" w:space="0"/>
              <w:bottom w:val="single" w:color="auto" w:sz="4" w:space="0"/>
            </w:tcBorders>
            <w:vAlign w:val="center"/>
          </w:tcPr>
          <w:p w14:paraId="56708A96">
            <w:pPr>
              <w:widowControl/>
              <w:spacing w:line="300" w:lineRule="exact"/>
              <w:jc w:val="left"/>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1"/>
                <w:szCs w:val="21"/>
                <w:lang w:eastAsia="zh-CN"/>
                <w14:textFill>
                  <w14:solidFill>
                    <w14:schemeClr w14:val="tx1"/>
                  </w14:solidFill>
                </w14:textFill>
              </w:rPr>
              <w:t>不予</w:t>
            </w:r>
            <w:r>
              <w:rPr>
                <w:rFonts w:hint="eastAsia" w:ascii="Times New Roman" w:hAnsi="Times New Roman" w:eastAsia="仿宋_GB2312" w:cs="Times New Roman"/>
                <w:color w:val="000000" w:themeColor="text1"/>
                <w:sz w:val="21"/>
                <w:szCs w:val="21"/>
                <w:lang w:eastAsia="zh-CN"/>
                <w14:textFill>
                  <w14:solidFill>
                    <w14:schemeClr w14:val="tx1"/>
                  </w14:solidFill>
                </w14:textFill>
              </w:rPr>
              <w:t>或者</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免予处罚</w:t>
            </w:r>
          </w:p>
        </w:tc>
        <w:tc>
          <w:tcPr>
            <w:tcW w:w="3818" w:type="dxa"/>
            <w:tcBorders>
              <w:top w:val="single" w:color="auto" w:sz="4" w:space="0"/>
              <w:bottom w:val="single" w:color="auto" w:sz="4" w:space="0"/>
            </w:tcBorders>
            <w:shd w:val="clear" w:color="auto" w:fill="auto"/>
            <w:vAlign w:val="center"/>
          </w:tcPr>
          <w:p w14:paraId="34C22C8E">
            <w:pPr>
              <w:pStyle w:val="20"/>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同时具备以下条件</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w:t>
            </w:r>
            <w:r>
              <w:rPr>
                <w:rFonts w:hint="default" w:ascii="Times New Roman" w:hAnsi="Times New Roman" w:eastAsia="仿宋_GB2312" w:cs="Times New Roman"/>
                <w:color w:val="000000" w:themeColor="text1"/>
                <w:kern w:val="0"/>
                <w:sz w:val="21"/>
                <w:szCs w:val="21"/>
                <w:lang w:bidi="ar"/>
                <w14:textFill>
                  <w14:solidFill>
                    <w14:schemeClr w14:val="tx1"/>
                  </w14:solidFill>
                </w14:textFill>
              </w:rPr>
              <w:t>1.首</w:t>
            </w:r>
            <w:r>
              <w:rPr>
                <w:rFonts w:hint="default" w:ascii="Times New Roman" w:hAnsi="Times New Roman" w:eastAsia="仿宋_GB2312" w:cs="Times New Roman"/>
                <w:color w:val="000000" w:themeColor="text1"/>
                <w:sz w:val="21"/>
                <w:szCs w:val="21"/>
                <w14:textFill>
                  <w14:solidFill>
                    <w14:schemeClr w14:val="tx1"/>
                  </w14:solidFill>
                </w14:textFill>
              </w:rPr>
              <w:t>次发生此类违法行为</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2.违法行为轻微，未造成危害后果；3.主动消除影响，取得谅解。</w:t>
            </w:r>
          </w:p>
        </w:tc>
        <w:tc>
          <w:tcPr>
            <w:tcW w:w="2810" w:type="dxa"/>
            <w:tcBorders>
              <w:top w:val="single" w:color="auto" w:sz="4" w:space="0"/>
              <w:bottom w:val="single" w:color="auto" w:sz="4" w:space="0"/>
            </w:tcBorders>
            <w:shd w:val="clear" w:color="auto" w:fill="auto"/>
            <w:vAlign w:val="center"/>
          </w:tcPr>
          <w:p w14:paraId="773F5FF2">
            <w:pPr>
              <w:widowControl/>
              <w:spacing w:line="30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p>
        </w:tc>
        <w:tc>
          <w:tcPr>
            <w:tcW w:w="1377" w:type="dxa"/>
            <w:tcBorders>
              <w:top w:val="single" w:color="auto" w:sz="4" w:space="0"/>
              <w:bottom w:val="single" w:color="auto" w:sz="4" w:space="0"/>
            </w:tcBorders>
            <w:shd w:val="clear" w:color="auto" w:fill="auto"/>
            <w:vAlign w:val="center"/>
          </w:tcPr>
          <w:p w14:paraId="467FF441">
            <w:pPr>
              <w:widowControl/>
              <w:spacing w:line="30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sz w:val="21"/>
                <w:szCs w:val="21"/>
                <w:lang w:eastAsia="zh-CN"/>
              </w:rPr>
              <w:t>省、市（州）、县（市、区）科技行政管理</w:t>
            </w:r>
            <w:r>
              <w:rPr>
                <w:rFonts w:hint="default" w:ascii="Times New Roman" w:hAnsi="Times New Roman" w:eastAsia="仿宋_GB2312" w:cs="Times New Roman"/>
                <w:sz w:val="21"/>
                <w:szCs w:val="21"/>
              </w:rPr>
              <w:t>部门</w:t>
            </w:r>
          </w:p>
        </w:tc>
      </w:tr>
      <w:tr w14:paraId="7FC8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818" w:type="dxa"/>
            <w:vMerge w:val="continue"/>
            <w:vAlign w:val="center"/>
          </w:tcPr>
          <w:p w14:paraId="760AA59E">
            <w:pPr>
              <w:widowControl/>
              <w:spacing w:line="300" w:lineRule="exact"/>
              <w:jc w:val="center"/>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p>
        </w:tc>
        <w:tc>
          <w:tcPr>
            <w:tcW w:w="1337" w:type="dxa"/>
            <w:vMerge w:val="continue"/>
            <w:vAlign w:val="center"/>
          </w:tcPr>
          <w:p w14:paraId="5B1B4BF7">
            <w:pPr>
              <w:widowControl/>
              <w:spacing w:line="300" w:lineRule="exact"/>
              <w:jc w:val="center"/>
              <w:textAlignment w:val="center"/>
              <w:rPr>
                <w:rFonts w:hint="default" w:ascii="Times New Roman" w:hAnsi="Times New Roman" w:eastAsia="仿宋_GB2312" w:cs="Times New Roman"/>
                <w:color w:val="000000"/>
                <w:kern w:val="0"/>
                <w:sz w:val="21"/>
                <w:szCs w:val="21"/>
                <w:lang w:bidi="ar"/>
              </w:rPr>
            </w:pPr>
          </w:p>
        </w:tc>
        <w:tc>
          <w:tcPr>
            <w:tcW w:w="3162" w:type="dxa"/>
            <w:vMerge w:val="continue"/>
            <w:vAlign w:val="center"/>
          </w:tcPr>
          <w:p w14:paraId="5D901116">
            <w:pPr>
              <w:widowControl/>
              <w:spacing w:line="300" w:lineRule="exact"/>
              <w:jc w:val="center"/>
              <w:textAlignment w:val="center"/>
              <w:rPr>
                <w:rFonts w:hint="default" w:ascii="Times New Roman" w:hAnsi="Times New Roman" w:eastAsia="仿宋_GB2312" w:cs="Times New Roman"/>
                <w:color w:val="000000"/>
                <w:kern w:val="0"/>
                <w:sz w:val="21"/>
                <w:szCs w:val="21"/>
                <w:lang w:bidi="ar"/>
              </w:rPr>
            </w:pPr>
          </w:p>
        </w:tc>
        <w:tc>
          <w:tcPr>
            <w:tcW w:w="1351" w:type="dxa"/>
            <w:tcBorders>
              <w:top w:val="single" w:color="auto" w:sz="4" w:space="0"/>
              <w:bottom w:val="single" w:color="auto" w:sz="4" w:space="0"/>
            </w:tcBorders>
            <w:vAlign w:val="center"/>
          </w:tcPr>
          <w:p w14:paraId="4642A4C3">
            <w:pPr>
              <w:widowControl/>
              <w:spacing w:line="300" w:lineRule="exact"/>
              <w:jc w:val="left"/>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1"/>
                <w:szCs w:val="21"/>
                <w:lang w:eastAsia="zh-CN"/>
                <w14:textFill>
                  <w14:solidFill>
                    <w14:schemeClr w14:val="tx1"/>
                  </w14:solidFill>
                </w14:textFill>
              </w:rPr>
              <w:t>减轻</w:t>
            </w:r>
            <w:r>
              <w:rPr>
                <w:rFonts w:hint="eastAsia" w:ascii="Times New Roman" w:hAnsi="Times New Roman" w:eastAsia="仿宋_GB2312" w:cs="Times New Roman"/>
                <w:color w:val="000000" w:themeColor="text1"/>
                <w:sz w:val="21"/>
                <w:szCs w:val="21"/>
                <w:lang w:eastAsia="zh-CN"/>
                <w14:textFill>
                  <w14:solidFill>
                    <w14:schemeClr w14:val="tx1"/>
                  </w14:solidFill>
                </w14:textFill>
              </w:rPr>
              <w:t>或者</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从轻处罚</w:t>
            </w:r>
          </w:p>
        </w:tc>
        <w:tc>
          <w:tcPr>
            <w:tcW w:w="3818" w:type="dxa"/>
            <w:tcBorders>
              <w:top w:val="single" w:color="auto" w:sz="4" w:space="0"/>
              <w:bottom w:val="single" w:color="auto" w:sz="4" w:space="0"/>
            </w:tcBorders>
            <w:shd w:val="clear" w:color="auto" w:fill="auto"/>
            <w:vAlign w:val="center"/>
          </w:tcPr>
          <w:p w14:paraId="51F2545D">
            <w:pPr>
              <w:pStyle w:val="20"/>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对当事人造成的危害较轻。</w:t>
            </w:r>
          </w:p>
        </w:tc>
        <w:tc>
          <w:tcPr>
            <w:tcW w:w="2810" w:type="dxa"/>
            <w:tcBorders>
              <w:top w:val="single" w:color="auto" w:sz="4" w:space="0"/>
              <w:bottom w:val="single" w:color="auto" w:sz="4" w:space="0"/>
            </w:tcBorders>
            <w:shd w:val="clear" w:color="auto" w:fill="auto"/>
            <w:vAlign w:val="center"/>
          </w:tcPr>
          <w:p w14:paraId="5AF1E298">
            <w:pPr>
              <w:pStyle w:val="20"/>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责令改正</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没收违法所得，并处违法所得一倍的罚款；没有违法所得的，处五万元罚款。</w:t>
            </w:r>
          </w:p>
        </w:tc>
        <w:tc>
          <w:tcPr>
            <w:tcW w:w="1377" w:type="dxa"/>
            <w:tcBorders>
              <w:top w:val="single" w:color="auto" w:sz="4" w:space="0"/>
              <w:bottom w:val="single" w:color="auto" w:sz="4" w:space="0"/>
            </w:tcBorders>
            <w:shd w:val="clear" w:color="auto" w:fill="auto"/>
            <w:vAlign w:val="center"/>
          </w:tcPr>
          <w:p w14:paraId="2797F021">
            <w:pPr>
              <w:widowControl/>
              <w:spacing w:line="30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sz w:val="21"/>
                <w:szCs w:val="21"/>
                <w:lang w:eastAsia="zh-CN"/>
              </w:rPr>
              <w:t>省、市（州）、县（市、区）科技行政管理</w:t>
            </w:r>
            <w:r>
              <w:rPr>
                <w:rFonts w:hint="default" w:ascii="Times New Roman" w:hAnsi="Times New Roman" w:eastAsia="仿宋_GB2312" w:cs="Times New Roman"/>
                <w:sz w:val="21"/>
                <w:szCs w:val="21"/>
              </w:rPr>
              <w:t>部门</w:t>
            </w:r>
          </w:p>
        </w:tc>
      </w:tr>
      <w:tr w14:paraId="4632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818" w:type="dxa"/>
            <w:vMerge w:val="continue"/>
            <w:vAlign w:val="center"/>
          </w:tcPr>
          <w:p w14:paraId="5FC3CC2F">
            <w:pPr>
              <w:widowControl/>
              <w:spacing w:line="300" w:lineRule="exact"/>
              <w:jc w:val="center"/>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p>
        </w:tc>
        <w:tc>
          <w:tcPr>
            <w:tcW w:w="1337" w:type="dxa"/>
            <w:vMerge w:val="continue"/>
            <w:vAlign w:val="center"/>
          </w:tcPr>
          <w:p w14:paraId="4667F8FA">
            <w:pPr>
              <w:widowControl/>
              <w:spacing w:line="300" w:lineRule="exact"/>
              <w:jc w:val="center"/>
              <w:textAlignment w:val="center"/>
              <w:rPr>
                <w:rFonts w:hint="default" w:ascii="Times New Roman" w:hAnsi="Times New Roman" w:eastAsia="仿宋_GB2312" w:cs="Times New Roman"/>
                <w:color w:val="000000"/>
                <w:kern w:val="0"/>
                <w:sz w:val="21"/>
                <w:szCs w:val="21"/>
                <w:lang w:bidi="ar"/>
              </w:rPr>
            </w:pPr>
          </w:p>
        </w:tc>
        <w:tc>
          <w:tcPr>
            <w:tcW w:w="3162" w:type="dxa"/>
            <w:vMerge w:val="continue"/>
            <w:vAlign w:val="center"/>
          </w:tcPr>
          <w:p w14:paraId="2930D910">
            <w:pPr>
              <w:widowControl/>
              <w:spacing w:line="300" w:lineRule="exact"/>
              <w:jc w:val="center"/>
              <w:textAlignment w:val="center"/>
              <w:rPr>
                <w:rFonts w:hint="default" w:ascii="Times New Roman" w:hAnsi="Times New Roman" w:eastAsia="仿宋_GB2312" w:cs="Times New Roman"/>
                <w:color w:val="000000"/>
                <w:kern w:val="0"/>
                <w:sz w:val="21"/>
                <w:szCs w:val="21"/>
                <w:lang w:bidi="ar"/>
              </w:rPr>
            </w:pPr>
          </w:p>
        </w:tc>
        <w:tc>
          <w:tcPr>
            <w:tcW w:w="1351" w:type="dxa"/>
            <w:tcBorders>
              <w:top w:val="single" w:color="auto" w:sz="4" w:space="0"/>
              <w:bottom w:val="single" w:color="auto" w:sz="4" w:space="0"/>
            </w:tcBorders>
            <w:vAlign w:val="center"/>
          </w:tcPr>
          <w:p w14:paraId="7092FD22">
            <w:pPr>
              <w:widowControl/>
              <w:spacing w:line="300" w:lineRule="exact"/>
              <w:jc w:val="left"/>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一般</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处罚</w:t>
            </w:r>
          </w:p>
        </w:tc>
        <w:tc>
          <w:tcPr>
            <w:tcW w:w="3818" w:type="dxa"/>
            <w:tcBorders>
              <w:top w:val="single" w:color="auto" w:sz="4" w:space="0"/>
              <w:bottom w:val="single" w:color="auto" w:sz="4" w:space="0"/>
            </w:tcBorders>
            <w:shd w:val="clear" w:color="auto" w:fill="auto"/>
            <w:vAlign w:val="center"/>
          </w:tcPr>
          <w:p w14:paraId="2D6C88B9">
            <w:pPr>
              <w:pStyle w:val="20"/>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对当事人造成的危害较重。</w:t>
            </w:r>
          </w:p>
        </w:tc>
        <w:tc>
          <w:tcPr>
            <w:tcW w:w="2810" w:type="dxa"/>
            <w:tcBorders>
              <w:top w:val="single" w:color="auto" w:sz="4" w:space="0"/>
              <w:bottom w:val="single" w:color="auto" w:sz="4" w:space="0"/>
            </w:tcBorders>
            <w:shd w:val="clear" w:color="auto" w:fill="auto"/>
            <w:vAlign w:val="center"/>
          </w:tcPr>
          <w:p w14:paraId="42415C2F">
            <w:pPr>
              <w:pStyle w:val="20"/>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责令改正</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没收违法所得，并处违法所得一倍以上三倍以下的罚款；没有违法所得的，处五万元以上十万元以下的罚款。</w:t>
            </w:r>
          </w:p>
        </w:tc>
        <w:tc>
          <w:tcPr>
            <w:tcW w:w="1377" w:type="dxa"/>
            <w:tcBorders>
              <w:top w:val="single" w:color="auto" w:sz="4" w:space="0"/>
              <w:bottom w:val="single" w:color="auto" w:sz="4" w:space="0"/>
            </w:tcBorders>
            <w:shd w:val="clear" w:color="auto" w:fill="auto"/>
            <w:vAlign w:val="center"/>
          </w:tcPr>
          <w:p w14:paraId="3DFF0D12">
            <w:pPr>
              <w:widowControl/>
              <w:spacing w:line="30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sz w:val="21"/>
                <w:szCs w:val="21"/>
                <w:lang w:eastAsia="zh-CN"/>
              </w:rPr>
              <w:t>省、市（州）、县（市、区）科技行政管理</w:t>
            </w:r>
            <w:r>
              <w:rPr>
                <w:rFonts w:hint="default" w:ascii="Times New Roman" w:hAnsi="Times New Roman" w:eastAsia="仿宋_GB2312" w:cs="Times New Roman"/>
                <w:sz w:val="21"/>
                <w:szCs w:val="21"/>
              </w:rPr>
              <w:t>部门</w:t>
            </w:r>
          </w:p>
        </w:tc>
      </w:tr>
      <w:tr w14:paraId="11664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8" w:type="dxa"/>
            <w:vMerge w:val="continue"/>
            <w:vAlign w:val="center"/>
          </w:tcPr>
          <w:p w14:paraId="32E564F6">
            <w:pPr>
              <w:pStyle w:val="4"/>
              <w:rPr>
                <w:rFonts w:hint="default" w:ascii="Times New Roman" w:hAnsi="Times New Roman" w:cs="Times New Roman"/>
              </w:rPr>
            </w:pPr>
          </w:p>
        </w:tc>
        <w:tc>
          <w:tcPr>
            <w:tcW w:w="1337" w:type="dxa"/>
            <w:vMerge w:val="continue"/>
            <w:vAlign w:val="center"/>
          </w:tcPr>
          <w:p w14:paraId="49373F51">
            <w:pPr>
              <w:widowControl/>
              <w:spacing w:line="300" w:lineRule="exact"/>
              <w:jc w:val="center"/>
              <w:textAlignment w:val="center"/>
              <w:rPr>
                <w:rFonts w:hint="default" w:ascii="Times New Roman" w:hAnsi="Times New Roman" w:eastAsia="仿宋_GB2312" w:cs="Times New Roman"/>
                <w:color w:val="000000"/>
                <w:kern w:val="0"/>
                <w:sz w:val="21"/>
                <w:szCs w:val="21"/>
                <w:lang w:bidi="ar"/>
              </w:rPr>
            </w:pPr>
          </w:p>
        </w:tc>
        <w:tc>
          <w:tcPr>
            <w:tcW w:w="3162" w:type="dxa"/>
            <w:vMerge w:val="continue"/>
            <w:vAlign w:val="center"/>
          </w:tcPr>
          <w:p w14:paraId="5868E56E">
            <w:pPr>
              <w:widowControl/>
              <w:spacing w:line="300" w:lineRule="exact"/>
              <w:jc w:val="center"/>
              <w:textAlignment w:val="center"/>
              <w:rPr>
                <w:rFonts w:hint="default" w:ascii="Times New Roman" w:hAnsi="Times New Roman" w:eastAsia="仿宋_GB2312" w:cs="Times New Roman"/>
                <w:color w:val="000000"/>
                <w:kern w:val="0"/>
                <w:sz w:val="21"/>
                <w:szCs w:val="21"/>
                <w:lang w:bidi="ar"/>
              </w:rPr>
            </w:pPr>
          </w:p>
        </w:tc>
        <w:tc>
          <w:tcPr>
            <w:tcW w:w="1351" w:type="dxa"/>
            <w:tcBorders>
              <w:top w:val="single" w:color="auto" w:sz="4" w:space="0"/>
              <w:bottom w:val="single" w:color="auto" w:sz="4" w:space="0"/>
            </w:tcBorders>
            <w:vAlign w:val="center"/>
          </w:tcPr>
          <w:p w14:paraId="61008B9B">
            <w:pPr>
              <w:widowControl/>
              <w:spacing w:line="300" w:lineRule="exact"/>
              <w:jc w:val="left"/>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从重</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处罚</w:t>
            </w:r>
          </w:p>
        </w:tc>
        <w:tc>
          <w:tcPr>
            <w:tcW w:w="3818" w:type="dxa"/>
            <w:tcBorders>
              <w:top w:val="single" w:color="auto" w:sz="4" w:space="0"/>
              <w:bottom w:val="single" w:color="auto" w:sz="4" w:space="0"/>
            </w:tcBorders>
            <w:shd w:val="clear" w:color="auto" w:fill="auto"/>
            <w:vAlign w:val="center"/>
          </w:tcPr>
          <w:p w14:paraId="3C1F706B">
            <w:pPr>
              <w:pStyle w:val="20"/>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满足以下情形之一：1.多次违法；2.造成当事人重大经济损失或者导致重大转化项目失败。</w:t>
            </w:r>
          </w:p>
        </w:tc>
        <w:tc>
          <w:tcPr>
            <w:tcW w:w="2810" w:type="dxa"/>
            <w:tcBorders>
              <w:top w:val="single" w:color="auto" w:sz="4" w:space="0"/>
              <w:bottom w:val="single" w:color="auto" w:sz="4" w:space="0"/>
            </w:tcBorders>
            <w:shd w:val="clear" w:color="auto" w:fill="auto"/>
            <w:vAlign w:val="center"/>
          </w:tcPr>
          <w:p w14:paraId="54D9E1BB">
            <w:pPr>
              <w:pStyle w:val="20"/>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吊销营业执照。</w:t>
            </w:r>
          </w:p>
        </w:tc>
        <w:tc>
          <w:tcPr>
            <w:tcW w:w="1377" w:type="dxa"/>
            <w:tcBorders>
              <w:top w:val="single" w:color="auto" w:sz="4" w:space="0"/>
              <w:bottom w:val="single" w:color="auto" w:sz="4" w:space="0"/>
            </w:tcBorders>
            <w:shd w:val="clear" w:color="auto" w:fill="auto"/>
            <w:vAlign w:val="center"/>
          </w:tcPr>
          <w:p w14:paraId="515A855E">
            <w:pPr>
              <w:widowControl/>
              <w:spacing w:line="30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sz w:val="21"/>
                <w:szCs w:val="21"/>
                <w:lang w:eastAsia="zh-CN"/>
              </w:rPr>
              <w:t>省、市（州）、县（市、区）市场监管</w:t>
            </w:r>
            <w:r>
              <w:rPr>
                <w:rFonts w:hint="default" w:ascii="Times New Roman" w:hAnsi="Times New Roman" w:eastAsia="仿宋_GB2312" w:cs="Times New Roman"/>
                <w:sz w:val="21"/>
                <w:szCs w:val="21"/>
              </w:rPr>
              <w:t>部门</w:t>
            </w:r>
          </w:p>
        </w:tc>
      </w:tr>
      <w:tr w14:paraId="52D2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18" w:type="dxa"/>
            <w:vMerge w:val="restart"/>
            <w:vAlign w:val="center"/>
          </w:tcPr>
          <w:p w14:paraId="19987BFE">
            <w:pPr>
              <w:pStyle w:val="4"/>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6</w:t>
            </w:r>
          </w:p>
        </w:tc>
        <w:tc>
          <w:tcPr>
            <w:tcW w:w="1337" w:type="dxa"/>
            <w:vMerge w:val="restart"/>
            <w:vAlign w:val="center"/>
          </w:tcPr>
          <w:p w14:paraId="479D3C8E">
            <w:pPr>
              <w:widowControl/>
              <w:spacing w:line="300" w:lineRule="exact"/>
              <w:jc w:val="both"/>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在科技成果转化活动中弄虚作假，采取欺骗手段，骗取奖励和荣誉、诈骗钱财、非法牟利</w:t>
            </w:r>
          </w:p>
        </w:tc>
        <w:tc>
          <w:tcPr>
            <w:tcW w:w="3162" w:type="dxa"/>
            <w:vMerge w:val="restart"/>
            <w:vAlign w:val="center"/>
          </w:tcPr>
          <w:p w14:paraId="5C330D04">
            <w:pPr>
              <w:widowControl/>
              <w:spacing w:line="300" w:lineRule="exact"/>
              <w:jc w:val="both"/>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四川省促进科技成果转化条例》第七十六条：企业、研究开发机构和高等院校在科技成果转化活动中弄虚作假，采取欺骗手段，骗取奖励和荣誉、诈骗钱财、非法牟利的，由政府有关部门将其行为记入诚信档案，依照管理职责责令改正，取消该奖励和荣誉，没收违法所得，并处以违法所得一倍以上三倍以下的罚款；没有违法所得的，处以五万元以上十万元以下的罚款；构成犯罪的，依法追究刑事责任。</w:t>
            </w:r>
          </w:p>
        </w:tc>
        <w:tc>
          <w:tcPr>
            <w:tcW w:w="1351" w:type="dxa"/>
            <w:tcBorders>
              <w:top w:val="single" w:color="auto" w:sz="4" w:space="0"/>
              <w:bottom w:val="single" w:color="auto" w:sz="4" w:space="0"/>
            </w:tcBorders>
            <w:vAlign w:val="center"/>
          </w:tcPr>
          <w:p w14:paraId="3AB078E4">
            <w:pPr>
              <w:widowControl/>
              <w:spacing w:line="300" w:lineRule="exact"/>
              <w:jc w:val="left"/>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1"/>
                <w:szCs w:val="21"/>
                <w:lang w:eastAsia="zh-CN"/>
                <w14:textFill>
                  <w14:solidFill>
                    <w14:schemeClr w14:val="tx1"/>
                  </w14:solidFill>
                </w14:textFill>
              </w:rPr>
              <w:t>不予</w:t>
            </w:r>
            <w:r>
              <w:rPr>
                <w:rFonts w:hint="eastAsia" w:ascii="Times New Roman" w:hAnsi="Times New Roman" w:eastAsia="仿宋_GB2312" w:cs="Times New Roman"/>
                <w:color w:val="000000" w:themeColor="text1"/>
                <w:sz w:val="21"/>
                <w:szCs w:val="21"/>
                <w:lang w:eastAsia="zh-CN"/>
                <w14:textFill>
                  <w14:solidFill>
                    <w14:schemeClr w14:val="tx1"/>
                  </w14:solidFill>
                </w14:textFill>
              </w:rPr>
              <w:t>或者</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免予处罚</w:t>
            </w:r>
          </w:p>
        </w:tc>
        <w:tc>
          <w:tcPr>
            <w:tcW w:w="3818" w:type="dxa"/>
            <w:tcBorders>
              <w:top w:val="single" w:color="auto" w:sz="4" w:space="0"/>
              <w:bottom w:val="single" w:color="auto" w:sz="4" w:space="0"/>
            </w:tcBorders>
            <w:shd w:val="clear" w:color="auto" w:fill="auto"/>
            <w:vAlign w:val="center"/>
          </w:tcPr>
          <w:p w14:paraId="13BDB49B">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同时具备以下条件：1.首次发生此类违法行为</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w:t>
            </w:r>
            <w:r>
              <w:rPr>
                <w:rFonts w:hint="default" w:ascii="Times New Roman" w:hAnsi="Times New Roman" w:eastAsia="仿宋_GB2312" w:cs="Times New Roman"/>
                <w:sz w:val="21"/>
                <w:szCs w:val="21"/>
              </w:rPr>
              <w:t>2.</w:t>
            </w:r>
            <w:r>
              <w:rPr>
                <w:rFonts w:hint="default" w:ascii="Times New Roman" w:hAnsi="Times New Roman" w:eastAsia="仿宋_GB2312" w:cs="Times New Roman"/>
                <w:sz w:val="21"/>
                <w:szCs w:val="21"/>
                <w:lang w:eastAsia="zh-CN"/>
              </w:rPr>
              <w:t>及时改正且</w:t>
            </w:r>
            <w:r>
              <w:rPr>
                <w:rFonts w:hint="default" w:ascii="Times New Roman" w:hAnsi="Times New Roman" w:eastAsia="仿宋_GB2312" w:cs="Times New Roman"/>
                <w:sz w:val="21"/>
                <w:szCs w:val="21"/>
              </w:rPr>
              <w:t>没有造成危害后果</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3.没有违法所得。</w:t>
            </w:r>
          </w:p>
        </w:tc>
        <w:tc>
          <w:tcPr>
            <w:tcW w:w="2810" w:type="dxa"/>
            <w:tcBorders>
              <w:top w:val="single" w:color="auto" w:sz="4" w:space="0"/>
              <w:bottom w:val="single" w:color="auto" w:sz="4" w:space="0"/>
            </w:tcBorders>
            <w:shd w:val="clear" w:color="auto" w:fill="auto"/>
            <w:vAlign w:val="center"/>
          </w:tcPr>
          <w:p w14:paraId="11DFB08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p>
        </w:tc>
        <w:tc>
          <w:tcPr>
            <w:tcW w:w="1377" w:type="dxa"/>
            <w:tcBorders>
              <w:top w:val="single" w:color="auto" w:sz="4" w:space="0"/>
              <w:bottom w:val="single" w:color="auto" w:sz="4" w:space="0"/>
            </w:tcBorders>
            <w:shd w:val="clear" w:color="auto" w:fill="auto"/>
            <w:vAlign w:val="center"/>
          </w:tcPr>
          <w:p w14:paraId="42843D85">
            <w:pPr>
              <w:widowControl/>
              <w:spacing w:line="30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sz w:val="21"/>
                <w:szCs w:val="21"/>
                <w:lang w:eastAsia="zh-CN"/>
              </w:rPr>
              <w:t>省、市（州）、县（市、区）科技行政管理</w:t>
            </w:r>
            <w:r>
              <w:rPr>
                <w:rFonts w:hint="default" w:ascii="Times New Roman" w:hAnsi="Times New Roman" w:eastAsia="仿宋_GB2312" w:cs="Times New Roman"/>
                <w:sz w:val="21"/>
                <w:szCs w:val="21"/>
              </w:rPr>
              <w:t>部门</w:t>
            </w:r>
          </w:p>
        </w:tc>
      </w:tr>
      <w:tr w14:paraId="21D2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8" w:type="dxa"/>
            <w:vMerge w:val="continue"/>
            <w:vAlign w:val="center"/>
          </w:tcPr>
          <w:p w14:paraId="367CF434">
            <w:pPr>
              <w:pStyle w:val="4"/>
              <w:rPr>
                <w:rFonts w:hint="default" w:ascii="Times New Roman" w:hAnsi="Times New Roman" w:cs="Times New Roman"/>
              </w:rPr>
            </w:pPr>
          </w:p>
        </w:tc>
        <w:tc>
          <w:tcPr>
            <w:tcW w:w="1337" w:type="dxa"/>
            <w:vMerge w:val="continue"/>
            <w:vAlign w:val="center"/>
          </w:tcPr>
          <w:p w14:paraId="435CBCD0">
            <w:pPr>
              <w:widowControl/>
              <w:spacing w:line="300" w:lineRule="exact"/>
              <w:jc w:val="center"/>
              <w:textAlignment w:val="center"/>
              <w:rPr>
                <w:rFonts w:hint="default" w:ascii="Times New Roman" w:hAnsi="Times New Roman" w:eastAsia="仿宋_GB2312" w:cs="Times New Roman"/>
                <w:color w:val="000000"/>
                <w:kern w:val="0"/>
                <w:sz w:val="21"/>
                <w:szCs w:val="21"/>
                <w:lang w:bidi="ar"/>
              </w:rPr>
            </w:pPr>
          </w:p>
        </w:tc>
        <w:tc>
          <w:tcPr>
            <w:tcW w:w="3162" w:type="dxa"/>
            <w:vMerge w:val="continue"/>
            <w:vAlign w:val="center"/>
          </w:tcPr>
          <w:p w14:paraId="6BBE2771">
            <w:pPr>
              <w:widowControl/>
              <w:spacing w:line="300" w:lineRule="exact"/>
              <w:jc w:val="center"/>
              <w:textAlignment w:val="center"/>
              <w:rPr>
                <w:rFonts w:hint="default" w:ascii="Times New Roman" w:hAnsi="Times New Roman" w:eastAsia="仿宋_GB2312" w:cs="Times New Roman"/>
                <w:color w:val="000000"/>
                <w:kern w:val="0"/>
                <w:sz w:val="21"/>
                <w:szCs w:val="21"/>
                <w:lang w:bidi="ar"/>
              </w:rPr>
            </w:pPr>
          </w:p>
        </w:tc>
        <w:tc>
          <w:tcPr>
            <w:tcW w:w="1351" w:type="dxa"/>
            <w:tcBorders>
              <w:top w:val="single" w:color="auto" w:sz="4" w:space="0"/>
              <w:bottom w:val="single" w:color="auto" w:sz="4" w:space="0"/>
            </w:tcBorders>
            <w:vAlign w:val="center"/>
          </w:tcPr>
          <w:p w14:paraId="5F2B529B">
            <w:pPr>
              <w:widowControl/>
              <w:spacing w:line="300" w:lineRule="exact"/>
              <w:jc w:val="left"/>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1"/>
                <w:szCs w:val="21"/>
                <w:lang w:eastAsia="zh-CN"/>
                <w14:textFill>
                  <w14:solidFill>
                    <w14:schemeClr w14:val="tx1"/>
                  </w14:solidFill>
                </w14:textFill>
              </w:rPr>
              <w:t>减轻</w:t>
            </w:r>
            <w:r>
              <w:rPr>
                <w:rFonts w:hint="eastAsia" w:ascii="Times New Roman" w:hAnsi="Times New Roman" w:eastAsia="仿宋_GB2312" w:cs="Times New Roman"/>
                <w:color w:val="000000" w:themeColor="text1"/>
                <w:sz w:val="21"/>
                <w:szCs w:val="21"/>
                <w:lang w:eastAsia="zh-CN"/>
                <w14:textFill>
                  <w14:solidFill>
                    <w14:schemeClr w14:val="tx1"/>
                  </w14:solidFill>
                </w14:textFill>
              </w:rPr>
              <w:t>或者</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从轻处罚</w:t>
            </w:r>
          </w:p>
        </w:tc>
        <w:tc>
          <w:tcPr>
            <w:tcW w:w="3818" w:type="dxa"/>
            <w:tcBorders>
              <w:top w:val="single" w:color="auto" w:sz="4" w:space="0"/>
              <w:bottom w:val="single" w:color="auto" w:sz="4" w:space="0"/>
            </w:tcBorders>
            <w:shd w:val="clear" w:color="auto" w:fill="auto"/>
            <w:vAlign w:val="center"/>
          </w:tcPr>
          <w:p w14:paraId="49D3DE40">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同时具备以下条件：</w:t>
            </w: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1.</w:t>
            </w:r>
            <w:r>
              <w:rPr>
                <w:rFonts w:hint="default" w:ascii="Times New Roman" w:hAnsi="Times New Roman" w:eastAsia="仿宋_GB2312" w:cs="Times New Roman"/>
                <w:sz w:val="21"/>
                <w:szCs w:val="21"/>
              </w:rPr>
              <w:t>造成</w:t>
            </w:r>
            <w:r>
              <w:rPr>
                <w:rFonts w:hint="default" w:ascii="Times New Roman" w:hAnsi="Times New Roman" w:eastAsia="仿宋_GB2312" w:cs="Times New Roman"/>
                <w:sz w:val="21"/>
                <w:szCs w:val="21"/>
                <w:lang w:eastAsia="zh-CN"/>
              </w:rPr>
              <w:t>的</w:t>
            </w:r>
            <w:r>
              <w:rPr>
                <w:rFonts w:hint="default" w:ascii="Times New Roman" w:hAnsi="Times New Roman" w:eastAsia="仿宋_GB2312" w:cs="Times New Roman"/>
                <w:sz w:val="21"/>
                <w:szCs w:val="21"/>
              </w:rPr>
              <w:t>危害后果</w:t>
            </w:r>
            <w:r>
              <w:rPr>
                <w:rFonts w:hint="default" w:ascii="Times New Roman" w:hAnsi="Times New Roman" w:eastAsia="仿宋_GB2312" w:cs="Times New Roman"/>
                <w:sz w:val="21"/>
                <w:szCs w:val="21"/>
                <w:lang w:eastAsia="zh-CN"/>
              </w:rPr>
              <w:t>较轻；</w:t>
            </w: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2.主动</w:t>
            </w:r>
            <w:r>
              <w:rPr>
                <w:rFonts w:hint="default" w:ascii="Times New Roman" w:hAnsi="Times New Roman" w:eastAsia="仿宋_GB2312" w:cs="Times New Roman"/>
                <w:color w:val="000000" w:themeColor="text1"/>
                <w:kern w:val="0"/>
                <w:sz w:val="21"/>
                <w:szCs w:val="21"/>
                <w:lang w:eastAsia="zh-CN" w:bidi="ar"/>
                <w14:textFill>
                  <w14:solidFill>
                    <w14:schemeClr w14:val="tx1"/>
                  </w14:solidFill>
                </w14:textFill>
              </w:rPr>
              <w:t>退还违法所得、</w:t>
            </w:r>
            <w:r>
              <w:rPr>
                <w:rFonts w:hint="default" w:ascii="Times New Roman" w:hAnsi="Times New Roman" w:eastAsia="仿宋_GB2312" w:cs="Times New Roman"/>
                <w:color w:val="000000" w:themeColor="text1"/>
                <w:spacing w:val="0"/>
                <w:kern w:val="0"/>
                <w:sz w:val="21"/>
                <w:szCs w:val="21"/>
                <w:lang w:eastAsia="zh-CN" w:bidi="ar"/>
                <w14:textFill>
                  <w14:solidFill>
                    <w14:schemeClr w14:val="tx1"/>
                  </w14:solidFill>
                </w14:textFill>
              </w:rPr>
              <w:t>消除影响。</w:t>
            </w:r>
          </w:p>
        </w:tc>
        <w:tc>
          <w:tcPr>
            <w:tcW w:w="2810" w:type="dxa"/>
            <w:tcBorders>
              <w:top w:val="single" w:color="auto" w:sz="4" w:space="0"/>
              <w:bottom w:val="single" w:color="auto" w:sz="4" w:space="0"/>
            </w:tcBorders>
            <w:shd w:val="clear" w:color="auto" w:fill="auto"/>
            <w:vAlign w:val="center"/>
          </w:tcPr>
          <w:p w14:paraId="588579F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责令改正；取消奖励和荣誉；没收违法所得，并处违法所得一倍的罚款；没有违法所得的，处五万元罚款。</w:t>
            </w:r>
          </w:p>
        </w:tc>
        <w:tc>
          <w:tcPr>
            <w:tcW w:w="1377" w:type="dxa"/>
            <w:tcBorders>
              <w:top w:val="single" w:color="auto" w:sz="4" w:space="0"/>
              <w:bottom w:val="single" w:color="auto" w:sz="4" w:space="0"/>
            </w:tcBorders>
            <w:shd w:val="clear" w:color="auto" w:fill="auto"/>
            <w:vAlign w:val="center"/>
          </w:tcPr>
          <w:p w14:paraId="7055E964">
            <w:pPr>
              <w:widowControl/>
              <w:spacing w:line="30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sz w:val="21"/>
                <w:szCs w:val="21"/>
                <w:lang w:eastAsia="zh-CN"/>
              </w:rPr>
              <w:t>省、市（州）、县（市、区）科技行政管理</w:t>
            </w:r>
            <w:r>
              <w:rPr>
                <w:rFonts w:hint="default" w:ascii="Times New Roman" w:hAnsi="Times New Roman" w:eastAsia="仿宋_GB2312" w:cs="Times New Roman"/>
                <w:sz w:val="21"/>
                <w:szCs w:val="21"/>
              </w:rPr>
              <w:t>部门</w:t>
            </w:r>
          </w:p>
        </w:tc>
      </w:tr>
      <w:tr w14:paraId="6D54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8" w:type="dxa"/>
            <w:vMerge w:val="continue"/>
            <w:vAlign w:val="center"/>
          </w:tcPr>
          <w:p w14:paraId="0AD582F6">
            <w:pPr>
              <w:pStyle w:val="4"/>
              <w:rPr>
                <w:rFonts w:hint="default" w:ascii="Times New Roman" w:hAnsi="Times New Roman" w:cs="Times New Roman"/>
              </w:rPr>
            </w:pPr>
          </w:p>
        </w:tc>
        <w:tc>
          <w:tcPr>
            <w:tcW w:w="1337" w:type="dxa"/>
            <w:vMerge w:val="continue"/>
            <w:vAlign w:val="center"/>
          </w:tcPr>
          <w:p w14:paraId="587AF51C">
            <w:pPr>
              <w:widowControl/>
              <w:spacing w:line="300" w:lineRule="exact"/>
              <w:jc w:val="center"/>
              <w:textAlignment w:val="center"/>
              <w:rPr>
                <w:rFonts w:hint="default" w:ascii="Times New Roman" w:hAnsi="Times New Roman" w:eastAsia="仿宋_GB2312" w:cs="Times New Roman"/>
                <w:color w:val="000000"/>
                <w:kern w:val="0"/>
                <w:sz w:val="21"/>
                <w:szCs w:val="21"/>
                <w:lang w:bidi="ar"/>
              </w:rPr>
            </w:pPr>
          </w:p>
        </w:tc>
        <w:tc>
          <w:tcPr>
            <w:tcW w:w="3162" w:type="dxa"/>
            <w:vMerge w:val="continue"/>
            <w:vAlign w:val="center"/>
          </w:tcPr>
          <w:p w14:paraId="6661B380">
            <w:pPr>
              <w:widowControl/>
              <w:spacing w:line="300" w:lineRule="exact"/>
              <w:jc w:val="center"/>
              <w:textAlignment w:val="center"/>
              <w:rPr>
                <w:rFonts w:hint="default" w:ascii="Times New Roman" w:hAnsi="Times New Roman" w:eastAsia="仿宋_GB2312" w:cs="Times New Roman"/>
                <w:color w:val="000000"/>
                <w:kern w:val="0"/>
                <w:sz w:val="21"/>
                <w:szCs w:val="21"/>
                <w:lang w:bidi="ar"/>
              </w:rPr>
            </w:pPr>
          </w:p>
        </w:tc>
        <w:tc>
          <w:tcPr>
            <w:tcW w:w="1351" w:type="dxa"/>
            <w:tcBorders>
              <w:top w:val="single" w:color="auto" w:sz="4" w:space="0"/>
              <w:bottom w:val="single" w:color="auto" w:sz="4" w:space="0"/>
            </w:tcBorders>
            <w:vAlign w:val="center"/>
          </w:tcPr>
          <w:p w14:paraId="029EDA7C">
            <w:pPr>
              <w:widowControl/>
              <w:spacing w:line="300" w:lineRule="exact"/>
              <w:jc w:val="left"/>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一般</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处罚</w:t>
            </w:r>
          </w:p>
        </w:tc>
        <w:tc>
          <w:tcPr>
            <w:tcW w:w="3818" w:type="dxa"/>
            <w:tcBorders>
              <w:top w:val="single" w:color="auto" w:sz="4" w:space="0"/>
              <w:bottom w:val="single" w:color="auto" w:sz="4" w:space="0"/>
            </w:tcBorders>
            <w:shd w:val="clear" w:color="auto" w:fill="auto"/>
            <w:vAlign w:val="center"/>
          </w:tcPr>
          <w:p w14:paraId="7DD53678">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sz w:val="21"/>
                <w:szCs w:val="21"/>
              </w:rPr>
              <w:t>造成</w:t>
            </w:r>
            <w:r>
              <w:rPr>
                <w:rFonts w:hint="default" w:ascii="Times New Roman" w:hAnsi="Times New Roman" w:eastAsia="仿宋_GB2312" w:cs="Times New Roman"/>
                <w:sz w:val="21"/>
                <w:szCs w:val="21"/>
                <w:lang w:eastAsia="zh-CN"/>
              </w:rPr>
              <w:t>的</w:t>
            </w:r>
            <w:r>
              <w:rPr>
                <w:rFonts w:hint="default" w:ascii="Times New Roman" w:hAnsi="Times New Roman" w:eastAsia="仿宋_GB2312" w:cs="Times New Roman"/>
                <w:sz w:val="21"/>
                <w:szCs w:val="21"/>
              </w:rPr>
              <w:t>危害后果</w:t>
            </w:r>
            <w:r>
              <w:rPr>
                <w:rFonts w:hint="default" w:ascii="Times New Roman" w:hAnsi="Times New Roman" w:eastAsia="仿宋_GB2312" w:cs="Times New Roman"/>
                <w:sz w:val="21"/>
                <w:szCs w:val="21"/>
                <w:lang w:eastAsia="zh-CN"/>
              </w:rPr>
              <w:t>较重。</w:t>
            </w:r>
          </w:p>
        </w:tc>
        <w:tc>
          <w:tcPr>
            <w:tcW w:w="2810" w:type="dxa"/>
            <w:tcBorders>
              <w:top w:val="single" w:color="auto" w:sz="4" w:space="0"/>
              <w:bottom w:val="single" w:color="auto" w:sz="4" w:space="0"/>
            </w:tcBorders>
            <w:shd w:val="clear" w:color="auto" w:fill="auto"/>
            <w:vAlign w:val="center"/>
          </w:tcPr>
          <w:p w14:paraId="40F1CD0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责令改正；取消奖励和荣誉；没收违法所得，并处违法所得两倍的罚款；没有违法所得的，处五万元以上八万元以下</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的</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罚款。</w:t>
            </w:r>
          </w:p>
        </w:tc>
        <w:tc>
          <w:tcPr>
            <w:tcW w:w="1377" w:type="dxa"/>
            <w:tcBorders>
              <w:top w:val="single" w:color="auto" w:sz="4" w:space="0"/>
              <w:bottom w:val="single" w:color="auto" w:sz="4" w:space="0"/>
            </w:tcBorders>
            <w:shd w:val="clear" w:color="auto" w:fill="auto"/>
            <w:vAlign w:val="center"/>
          </w:tcPr>
          <w:p w14:paraId="3DC56550">
            <w:pPr>
              <w:widowControl/>
              <w:spacing w:line="30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sz w:val="21"/>
                <w:szCs w:val="21"/>
                <w:lang w:eastAsia="zh-CN"/>
              </w:rPr>
              <w:t>省、市（州）、县（市、区）科技行政管理</w:t>
            </w:r>
            <w:r>
              <w:rPr>
                <w:rFonts w:hint="default" w:ascii="Times New Roman" w:hAnsi="Times New Roman" w:eastAsia="仿宋_GB2312" w:cs="Times New Roman"/>
                <w:sz w:val="21"/>
                <w:szCs w:val="21"/>
              </w:rPr>
              <w:t>部门</w:t>
            </w:r>
          </w:p>
        </w:tc>
      </w:tr>
      <w:tr w14:paraId="5FA7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8" w:type="dxa"/>
            <w:vMerge w:val="continue"/>
            <w:vAlign w:val="center"/>
          </w:tcPr>
          <w:p w14:paraId="5500089F">
            <w:pPr>
              <w:pStyle w:val="4"/>
              <w:rPr>
                <w:rFonts w:hint="default" w:ascii="Times New Roman" w:hAnsi="Times New Roman" w:cs="Times New Roman"/>
              </w:rPr>
            </w:pPr>
          </w:p>
        </w:tc>
        <w:tc>
          <w:tcPr>
            <w:tcW w:w="1337" w:type="dxa"/>
            <w:vMerge w:val="continue"/>
            <w:vAlign w:val="center"/>
          </w:tcPr>
          <w:p w14:paraId="62760D92">
            <w:pPr>
              <w:widowControl/>
              <w:spacing w:line="300" w:lineRule="exact"/>
              <w:jc w:val="center"/>
              <w:textAlignment w:val="center"/>
              <w:rPr>
                <w:rFonts w:hint="default" w:ascii="Times New Roman" w:hAnsi="Times New Roman" w:eastAsia="仿宋_GB2312" w:cs="Times New Roman"/>
                <w:color w:val="000000"/>
                <w:kern w:val="0"/>
                <w:sz w:val="21"/>
                <w:szCs w:val="21"/>
                <w:lang w:bidi="ar"/>
              </w:rPr>
            </w:pPr>
          </w:p>
        </w:tc>
        <w:tc>
          <w:tcPr>
            <w:tcW w:w="3162" w:type="dxa"/>
            <w:vMerge w:val="continue"/>
            <w:vAlign w:val="center"/>
          </w:tcPr>
          <w:p w14:paraId="7D5798C4">
            <w:pPr>
              <w:widowControl/>
              <w:spacing w:line="300" w:lineRule="exact"/>
              <w:jc w:val="center"/>
              <w:textAlignment w:val="center"/>
              <w:rPr>
                <w:rFonts w:hint="default" w:ascii="Times New Roman" w:hAnsi="Times New Roman" w:eastAsia="仿宋_GB2312" w:cs="Times New Roman"/>
                <w:color w:val="000000"/>
                <w:kern w:val="0"/>
                <w:sz w:val="21"/>
                <w:szCs w:val="21"/>
                <w:lang w:bidi="ar"/>
              </w:rPr>
            </w:pPr>
          </w:p>
        </w:tc>
        <w:tc>
          <w:tcPr>
            <w:tcW w:w="1351" w:type="dxa"/>
            <w:tcBorders>
              <w:top w:val="single" w:color="auto" w:sz="4" w:space="0"/>
              <w:bottom w:val="single" w:color="auto" w:sz="4" w:space="0"/>
            </w:tcBorders>
            <w:vAlign w:val="center"/>
          </w:tcPr>
          <w:p w14:paraId="5474B705">
            <w:pPr>
              <w:widowControl/>
              <w:spacing w:line="300" w:lineRule="exact"/>
              <w:jc w:val="left"/>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从重</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处罚</w:t>
            </w:r>
          </w:p>
        </w:tc>
        <w:tc>
          <w:tcPr>
            <w:tcW w:w="3818" w:type="dxa"/>
            <w:tcBorders>
              <w:top w:val="single" w:color="auto" w:sz="4" w:space="0"/>
              <w:bottom w:val="single" w:color="auto" w:sz="4" w:space="0"/>
            </w:tcBorders>
            <w:shd w:val="clear" w:color="auto" w:fill="auto"/>
            <w:vAlign w:val="center"/>
          </w:tcPr>
          <w:p w14:paraId="4834249C">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满足以下情形之一：1.多次实施骗取行为；2.</w:t>
            </w:r>
            <w:r>
              <w:rPr>
                <w:rFonts w:hint="default" w:ascii="Times New Roman" w:hAnsi="Times New Roman" w:eastAsia="仿宋_GB2312" w:cs="Times New Roman"/>
                <w:sz w:val="21"/>
                <w:szCs w:val="21"/>
              </w:rPr>
              <w:t>造成</w:t>
            </w:r>
            <w:r>
              <w:rPr>
                <w:rFonts w:hint="default" w:ascii="Times New Roman" w:hAnsi="Times New Roman" w:eastAsia="仿宋_GB2312" w:cs="Times New Roman"/>
                <w:sz w:val="21"/>
                <w:szCs w:val="21"/>
                <w:lang w:eastAsia="zh-CN"/>
              </w:rPr>
              <w:t>的</w:t>
            </w:r>
            <w:r>
              <w:rPr>
                <w:rFonts w:hint="default" w:ascii="Times New Roman" w:hAnsi="Times New Roman" w:eastAsia="仿宋_GB2312" w:cs="Times New Roman"/>
                <w:sz w:val="21"/>
                <w:szCs w:val="21"/>
              </w:rPr>
              <w:t>危害后果</w:t>
            </w:r>
            <w:r>
              <w:rPr>
                <w:rFonts w:hint="default" w:ascii="Times New Roman" w:hAnsi="Times New Roman" w:eastAsia="仿宋_GB2312" w:cs="Times New Roman"/>
                <w:sz w:val="21"/>
                <w:szCs w:val="21"/>
                <w:lang w:eastAsia="zh-CN"/>
              </w:rPr>
              <w:t>严重。</w:t>
            </w:r>
          </w:p>
        </w:tc>
        <w:tc>
          <w:tcPr>
            <w:tcW w:w="2810" w:type="dxa"/>
            <w:tcBorders>
              <w:top w:val="single" w:color="auto" w:sz="4" w:space="0"/>
              <w:bottom w:val="single" w:color="auto" w:sz="4" w:space="0"/>
            </w:tcBorders>
            <w:shd w:val="clear" w:color="auto" w:fill="auto"/>
            <w:vAlign w:val="center"/>
          </w:tcPr>
          <w:p w14:paraId="3A8E7E0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责令改正；取消奖励和荣誉；没收违法所得，并处违法所得三倍的罚款；没有违法所得的，处八万元以上十万元以下</w:t>
            </w:r>
            <w:r>
              <w:rPr>
                <w:rFonts w:hint="eastAsia" w:ascii="Times New Roman" w:hAnsi="Times New Roman" w:eastAsia="仿宋_GB2312" w:cs="Times New Roman"/>
                <w:color w:val="000000" w:themeColor="text1"/>
                <w:kern w:val="2"/>
                <w:sz w:val="21"/>
                <w:szCs w:val="21"/>
                <w:lang w:val="en-US" w:eastAsia="zh-CN" w:bidi="ar-SA"/>
                <w14:textFill>
                  <w14:solidFill>
                    <w14:schemeClr w14:val="tx1"/>
                  </w14:solidFill>
                </w14:textFill>
              </w:rPr>
              <w:t>的</w:t>
            </w: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罚款。</w:t>
            </w:r>
          </w:p>
        </w:tc>
        <w:tc>
          <w:tcPr>
            <w:tcW w:w="1377" w:type="dxa"/>
            <w:tcBorders>
              <w:top w:val="single" w:color="auto" w:sz="4" w:space="0"/>
              <w:bottom w:val="single" w:color="auto" w:sz="4" w:space="0"/>
            </w:tcBorders>
            <w:shd w:val="clear" w:color="auto" w:fill="auto"/>
            <w:vAlign w:val="center"/>
          </w:tcPr>
          <w:p w14:paraId="260D9A40">
            <w:pPr>
              <w:widowControl/>
              <w:spacing w:line="30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sz w:val="21"/>
                <w:szCs w:val="21"/>
                <w:lang w:eastAsia="zh-CN"/>
              </w:rPr>
              <w:t>省、市（州）、县（市、区）科技行政管理</w:t>
            </w:r>
            <w:r>
              <w:rPr>
                <w:rFonts w:hint="default" w:ascii="Times New Roman" w:hAnsi="Times New Roman" w:eastAsia="仿宋_GB2312" w:cs="Times New Roman"/>
                <w:sz w:val="21"/>
                <w:szCs w:val="21"/>
              </w:rPr>
              <w:t>部门</w:t>
            </w:r>
          </w:p>
        </w:tc>
      </w:tr>
      <w:tr w14:paraId="5EA0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4673" w:type="dxa"/>
            <w:gridSpan w:val="7"/>
            <w:vAlign w:val="center"/>
          </w:tcPr>
          <w:p w14:paraId="13381F41">
            <w:pPr>
              <w:widowControl/>
              <w:spacing w:line="300" w:lineRule="exact"/>
              <w:jc w:val="lef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eastAsia" w:ascii="楷体_GB2312" w:hAnsi="楷体_GB2312" w:eastAsia="楷体_GB2312" w:cs="楷体_GB2312"/>
                <w:b/>
                <w:bCs/>
                <w:color w:val="000000" w:themeColor="text1"/>
                <w:sz w:val="21"/>
                <w:szCs w:val="21"/>
                <w:lang w:eastAsia="zh-CN"/>
                <w14:textFill>
                  <w14:solidFill>
                    <w14:schemeClr w14:val="tx1"/>
                  </w14:solidFill>
                </w14:textFill>
              </w:rPr>
              <w:t>三、科技奖励</w:t>
            </w:r>
            <w:r>
              <w:rPr>
                <w:rFonts w:hint="eastAsia" w:ascii="楷体_GB2312" w:hAnsi="楷体_GB2312" w:eastAsia="楷体_GB2312" w:cs="楷体_GB2312"/>
                <w:b/>
                <w:bCs/>
                <w:sz w:val="21"/>
                <w:szCs w:val="21"/>
                <w:lang w:eastAsia="zh-CN"/>
              </w:rPr>
              <w:t>领域</w:t>
            </w:r>
          </w:p>
        </w:tc>
      </w:tr>
      <w:tr w14:paraId="47C0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818" w:type="dxa"/>
            <w:vMerge w:val="restart"/>
            <w:vAlign w:val="center"/>
          </w:tcPr>
          <w:p w14:paraId="6B4B1BC1">
            <w:pPr>
              <w:widowControl/>
              <w:spacing w:line="300" w:lineRule="exact"/>
              <w:jc w:val="center"/>
              <w:textAlignment w:val="cente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7</w:t>
            </w:r>
          </w:p>
        </w:tc>
        <w:tc>
          <w:tcPr>
            <w:tcW w:w="1337" w:type="dxa"/>
            <w:vMerge w:val="restart"/>
            <w:vAlign w:val="center"/>
          </w:tcPr>
          <w:p w14:paraId="4FE77DE3">
            <w:pPr>
              <w:widowControl/>
              <w:spacing w:line="30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进行可能影响省科学技术奖提名和评审公平、公正的活动</w:t>
            </w:r>
          </w:p>
        </w:tc>
        <w:tc>
          <w:tcPr>
            <w:tcW w:w="3162" w:type="dxa"/>
            <w:vMerge w:val="restart"/>
            <w:vAlign w:val="center"/>
          </w:tcPr>
          <w:p w14:paraId="5D0C52ED">
            <w:pPr>
              <w:widowControl/>
              <w:spacing w:line="300" w:lineRule="exact"/>
              <w:jc w:val="both"/>
              <w:textAlignment w:val="center"/>
              <w:rPr>
                <w:rFonts w:hint="default" w:ascii="Times New Roman" w:hAnsi="Times New Roman" w:eastAsia="仿宋_GB2312" w:cs="Times New Roman"/>
                <w:color w:val="000000"/>
                <w:kern w:val="0"/>
                <w:sz w:val="21"/>
                <w:szCs w:val="21"/>
                <w:lang w:eastAsia="zh-CN" w:bidi="ar"/>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四川省科学技术奖励办法》第四十七条：候选者进行可能影响省科学技术奖提名和评审公平、公正活动的，由省科学技术行政部门给予通报批评，取消其参评资格，并由所在单位或者有关部门依法予以处理。其他个人或者组织进行可能影响省科学技术奖提名和评审公平、公正活动的，由省科学技术行政部门给予通报批评；相关候选者有责任的，取消其参评资格。</w:t>
            </w:r>
          </w:p>
        </w:tc>
        <w:tc>
          <w:tcPr>
            <w:tcW w:w="1351" w:type="dxa"/>
            <w:tcBorders>
              <w:top w:val="single" w:color="auto" w:sz="4" w:space="0"/>
              <w:bottom w:val="single" w:color="auto" w:sz="4" w:space="0"/>
            </w:tcBorders>
            <w:vAlign w:val="center"/>
          </w:tcPr>
          <w:p w14:paraId="1AAFDAEF">
            <w:pPr>
              <w:widowControl/>
              <w:spacing w:line="300" w:lineRule="exact"/>
              <w:jc w:val="lef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sz w:val="21"/>
                <w:szCs w:val="21"/>
                <w:lang w:eastAsia="zh-CN"/>
                <w14:textFill>
                  <w14:solidFill>
                    <w14:schemeClr w14:val="tx1"/>
                  </w14:solidFill>
                </w14:textFill>
              </w:rPr>
              <w:t>一般处罚</w:t>
            </w:r>
          </w:p>
        </w:tc>
        <w:tc>
          <w:tcPr>
            <w:tcW w:w="3818" w:type="dxa"/>
            <w:tcBorders>
              <w:top w:val="single" w:color="auto" w:sz="4" w:space="0"/>
              <w:bottom w:val="single" w:color="auto" w:sz="4" w:space="0"/>
            </w:tcBorders>
            <w:shd w:val="clear" w:color="auto" w:fill="auto"/>
            <w:vAlign w:val="center"/>
          </w:tcPr>
          <w:p w14:paraId="70FC4B8D">
            <w:pPr>
              <w:widowControl/>
              <w:spacing w:line="300" w:lineRule="exac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其他个人或者组织进行可能影响省科学技术奖提名和评审公平、公正的活动。</w:t>
            </w:r>
          </w:p>
        </w:tc>
        <w:tc>
          <w:tcPr>
            <w:tcW w:w="2810" w:type="dxa"/>
            <w:tcBorders>
              <w:top w:val="single" w:color="auto" w:sz="4" w:space="0"/>
              <w:bottom w:val="single" w:color="auto" w:sz="4" w:space="0"/>
            </w:tcBorders>
            <w:shd w:val="clear" w:color="auto" w:fill="auto"/>
            <w:vAlign w:val="center"/>
          </w:tcPr>
          <w:p w14:paraId="0A3F2AFB">
            <w:pPr>
              <w:widowControl/>
              <w:spacing w:line="30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通报批评。</w:t>
            </w:r>
          </w:p>
        </w:tc>
        <w:tc>
          <w:tcPr>
            <w:tcW w:w="1377" w:type="dxa"/>
            <w:tcBorders>
              <w:top w:val="single" w:color="auto" w:sz="4" w:space="0"/>
              <w:bottom w:val="single" w:color="auto" w:sz="4" w:space="0"/>
            </w:tcBorders>
            <w:shd w:val="clear" w:color="auto" w:fill="auto"/>
            <w:vAlign w:val="center"/>
          </w:tcPr>
          <w:p w14:paraId="21E99C2B">
            <w:pPr>
              <w:widowControl/>
              <w:spacing w:line="300" w:lineRule="exact"/>
              <w:jc w:val="lef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sz w:val="21"/>
                <w:szCs w:val="21"/>
                <w:lang w:eastAsia="zh-CN"/>
                <w14:textFill>
                  <w14:solidFill>
                    <w14:schemeClr w14:val="tx1"/>
                  </w14:solidFill>
                </w14:textFill>
              </w:rPr>
              <w:t>科技厅</w:t>
            </w:r>
          </w:p>
        </w:tc>
      </w:tr>
      <w:tr w14:paraId="0C3D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8" w:type="dxa"/>
            <w:vMerge w:val="continue"/>
            <w:vAlign w:val="center"/>
          </w:tcPr>
          <w:p w14:paraId="050F3A2E">
            <w:pPr>
              <w:widowControl/>
              <w:spacing w:line="300" w:lineRule="exact"/>
              <w:jc w:val="center"/>
              <w:textAlignment w:val="cente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p>
        </w:tc>
        <w:tc>
          <w:tcPr>
            <w:tcW w:w="1337" w:type="dxa"/>
            <w:vMerge w:val="continue"/>
            <w:vAlign w:val="center"/>
          </w:tcPr>
          <w:p w14:paraId="71D8155A">
            <w:pPr>
              <w:widowControl/>
              <w:spacing w:line="300" w:lineRule="exact"/>
              <w:jc w:val="left"/>
              <w:textAlignment w:val="center"/>
              <w:rPr>
                <w:rFonts w:hint="default" w:ascii="Times New Roman" w:hAnsi="Times New Roman" w:eastAsia="仿宋_GB2312" w:cs="Times New Roman"/>
                <w:color w:val="000000"/>
                <w:kern w:val="0"/>
                <w:sz w:val="21"/>
                <w:szCs w:val="21"/>
                <w:lang w:bidi="ar"/>
              </w:rPr>
            </w:pPr>
          </w:p>
        </w:tc>
        <w:tc>
          <w:tcPr>
            <w:tcW w:w="3162" w:type="dxa"/>
            <w:vMerge w:val="continue"/>
            <w:vAlign w:val="center"/>
          </w:tcPr>
          <w:p w14:paraId="05C6793D">
            <w:pPr>
              <w:widowControl/>
              <w:spacing w:line="300" w:lineRule="exact"/>
              <w:jc w:val="left"/>
              <w:textAlignment w:val="center"/>
              <w:rPr>
                <w:rFonts w:hint="default" w:ascii="Times New Roman" w:hAnsi="Times New Roman" w:eastAsia="仿宋_GB2312" w:cs="Times New Roman"/>
                <w:color w:val="000000"/>
                <w:kern w:val="0"/>
                <w:sz w:val="21"/>
                <w:szCs w:val="21"/>
                <w:lang w:eastAsia="zh-CN" w:bidi="ar"/>
              </w:rPr>
            </w:pPr>
          </w:p>
        </w:tc>
        <w:tc>
          <w:tcPr>
            <w:tcW w:w="1351" w:type="dxa"/>
            <w:tcBorders>
              <w:top w:val="single" w:color="auto" w:sz="4" w:space="0"/>
              <w:bottom w:val="single" w:color="auto" w:sz="4" w:space="0"/>
            </w:tcBorders>
            <w:vAlign w:val="center"/>
          </w:tcPr>
          <w:p w14:paraId="337C4B6B">
            <w:pPr>
              <w:widowControl/>
              <w:spacing w:line="300" w:lineRule="exact"/>
              <w:jc w:val="lef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sz w:val="21"/>
                <w:szCs w:val="21"/>
                <w:lang w:eastAsia="zh-CN"/>
                <w14:textFill>
                  <w14:solidFill>
                    <w14:schemeClr w14:val="tx1"/>
                  </w14:solidFill>
                </w14:textFill>
              </w:rPr>
              <w:t>从重处罚</w:t>
            </w:r>
          </w:p>
        </w:tc>
        <w:tc>
          <w:tcPr>
            <w:tcW w:w="3818" w:type="dxa"/>
            <w:tcBorders>
              <w:top w:val="single" w:color="auto" w:sz="4" w:space="0"/>
              <w:bottom w:val="single" w:color="auto" w:sz="4" w:space="0"/>
            </w:tcBorders>
            <w:shd w:val="clear" w:color="auto" w:fill="auto"/>
            <w:vAlign w:val="center"/>
          </w:tcPr>
          <w:p w14:paraId="5BF198C4">
            <w:pPr>
              <w:widowControl/>
              <w:spacing w:line="300" w:lineRule="exac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候选者进行可能影响省科学技术奖提名和评审公平、公正的活动。</w:t>
            </w:r>
          </w:p>
        </w:tc>
        <w:tc>
          <w:tcPr>
            <w:tcW w:w="2810" w:type="dxa"/>
            <w:tcBorders>
              <w:top w:val="single" w:color="auto" w:sz="4" w:space="0"/>
              <w:bottom w:val="single" w:color="auto" w:sz="4" w:space="0"/>
            </w:tcBorders>
            <w:shd w:val="clear" w:color="auto" w:fill="auto"/>
            <w:vAlign w:val="center"/>
          </w:tcPr>
          <w:p w14:paraId="39DC9D9E">
            <w:pPr>
              <w:widowControl/>
              <w:spacing w:line="30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t>通报批评，取消参评资格。</w:t>
            </w:r>
          </w:p>
        </w:tc>
        <w:tc>
          <w:tcPr>
            <w:tcW w:w="1377" w:type="dxa"/>
            <w:tcBorders>
              <w:top w:val="single" w:color="auto" w:sz="4" w:space="0"/>
              <w:bottom w:val="single" w:color="auto" w:sz="4" w:space="0"/>
            </w:tcBorders>
            <w:shd w:val="clear" w:color="auto" w:fill="auto"/>
            <w:vAlign w:val="center"/>
          </w:tcPr>
          <w:p w14:paraId="534A872E">
            <w:pPr>
              <w:widowControl/>
              <w:spacing w:line="300" w:lineRule="exact"/>
              <w:jc w:val="lef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sz w:val="21"/>
                <w:szCs w:val="21"/>
                <w:lang w:eastAsia="zh-CN"/>
                <w14:textFill>
                  <w14:solidFill>
                    <w14:schemeClr w14:val="tx1"/>
                  </w14:solidFill>
                </w14:textFill>
              </w:rPr>
              <w:t>科技厅</w:t>
            </w:r>
          </w:p>
        </w:tc>
      </w:tr>
      <w:tr w14:paraId="39A93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8" w:type="dxa"/>
            <w:vAlign w:val="center"/>
          </w:tcPr>
          <w:p w14:paraId="0108302B">
            <w:pPr>
              <w:widowControl/>
              <w:spacing w:line="300" w:lineRule="exact"/>
              <w:jc w:val="center"/>
              <w:textAlignment w:val="cente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8</w:t>
            </w:r>
          </w:p>
        </w:tc>
        <w:tc>
          <w:tcPr>
            <w:tcW w:w="1337" w:type="dxa"/>
            <w:vAlign w:val="center"/>
          </w:tcPr>
          <w:p w14:paraId="796C8889">
            <w:pPr>
              <w:widowControl/>
              <w:spacing w:line="30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eastAsia="zh-CN" w:bidi="ar"/>
              </w:rPr>
              <w:t>骗取省科学技术奖</w:t>
            </w:r>
          </w:p>
        </w:tc>
        <w:tc>
          <w:tcPr>
            <w:tcW w:w="3162" w:type="dxa"/>
            <w:vAlign w:val="center"/>
          </w:tcPr>
          <w:p w14:paraId="11946E4C">
            <w:pPr>
              <w:widowControl/>
              <w:spacing w:line="300" w:lineRule="exact"/>
              <w:jc w:val="left"/>
              <w:textAlignment w:val="center"/>
              <w:rPr>
                <w:rFonts w:hint="default" w:ascii="Times New Roman" w:hAnsi="Times New Roman" w:eastAsia="仿宋_GB2312" w:cs="Times New Roman"/>
                <w:color w:val="000000"/>
                <w:kern w:val="0"/>
                <w:sz w:val="21"/>
                <w:szCs w:val="21"/>
                <w:lang w:eastAsia="zh-CN" w:bidi="ar"/>
              </w:rPr>
            </w:pPr>
            <w:r>
              <w:rPr>
                <w:rFonts w:hint="default" w:ascii="Times New Roman" w:hAnsi="Times New Roman" w:eastAsia="仿宋_GB2312" w:cs="Times New Roman"/>
                <w:color w:val="000000"/>
                <w:kern w:val="0"/>
                <w:sz w:val="21"/>
                <w:szCs w:val="21"/>
                <w:lang w:eastAsia="zh-CN" w:bidi="ar"/>
              </w:rPr>
              <w:t>《四川省科学技术奖励办法》第四十九条：获奖者剽窃、侵占他人的发现、发明或者其他科学技术成果的，或者以其他不正当手段骗取省科学技术奖的，由省科学技术行政部门报省人民政府批准后撤销奖励，追回证书和奖金，并由所在单位或者有关部门依法给予处分。</w:t>
            </w:r>
          </w:p>
        </w:tc>
        <w:tc>
          <w:tcPr>
            <w:tcW w:w="1351" w:type="dxa"/>
            <w:tcBorders>
              <w:top w:val="single" w:color="auto" w:sz="4" w:space="0"/>
              <w:bottom w:val="single" w:color="auto" w:sz="4" w:space="0"/>
            </w:tcBorders>
            <w:vAlign w:val="center"/>
          </w:tcPr>
          <w:p w14:paraId="5D9CA429">
            <w:pPr>
              <w:widowControl/>
              <w:spacing w:line="300" w:lineRule="exact"/>
              <w:jc w:val="lef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sz w:val="21"/>
                <w:szCs w:val="21"/>
                <w:lang w:eastAsia="zh-CN"/>
                <w14:textFill>
                  <w14:solidFill>
                    <w14:schemeClr w14:val="tx1"/>
                  </w14:solidFill>
                </w14:textFill>
              </w:rPr>
              <w:t>一般处罚</w:t>
            </w:r>
          </w:p>
        </w:tc>
        <w:tc>
          <w:tcPr>
            <w:tcW w:w="3818" w:type="dxa"/>
            <w:tcBorders>
              <w:top w:val="single" w:color="auto" w:sz="4" w:space="0"/>
              <w:bottom w:val="single" w:color="auto" w:sz="4" w:space="0"/>
            </w:tcBorders>
            <w:shd w:val="clear" w:color="auto" w:fill="auto"/>
            <w:vAlign w:val="center"/>
          </w:tcPr>
          <w:p w14:paraId="7DBDAAE9">
            <w:pPr>
              <w:widowControl/>
              <w:spacing w:line="300" w:lineRule="exac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kern w:val="0"/>
                <w:sz w:val="21"/>
                <w:szCs w:val="21"/>
                <w:lang w:eastAsia="zh-CN" w:bidi="ar"/>
              </w:rPr>
              <w:t>获奖者剽窃、侵占他人的发现、发明或者其他科学技术成果，或者以其他不正当手段骗取省科学技术奖。</w:t>
            </w:r>
          </w:p>
        </w:tc>
        <w:tc>
          <w:tcPr>
            <w:tcW w:w="2810" w:type="dxa"/>
            <w:tcBorders>
              <w:top w:val="single" w:color="auto" w:sz="4" w:space="0"/>
              <w:bottom w:val="single" w:color="auto" w:sz="4" w:space="0"/>
            </w:tcBorders>
            <w:shd w:val="clear" w:color="auto" w:fill="auto"/>
            <w:vAlign w:val="center"/>
          </w:tcPr>
          <w:p w14:paraId="170B2CCD">
            <w:pPr>
              <w:widowControl/>
              <w:spacing w:line="30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color w:val="000000"/>
                <w:kern w:val="0"/>
                <w:sz w:val="21"/>
                <w:szCs w:val="21"/>
                <w:lang w:eastAsia="zh-CN" w:bidi="ar"/>
              </w:rPr>
              <w:t>撤销奖励，追回证书和奖金。</w:t>
            </w:r>
          </w:p>
        </w:tc>
        <w:tc>
          <w:tcPr>
            <w:tcW w:w="1377" w:type="dxa"/>
            <w:tcBorders>
              <w:top w:val="single" w:color="auto" w:sz="4" w:space="0"/>
              <w:bottom w:val="single" w:color="auto" w:sz="4" w:space="0"/>
            </w:tcBorders>
            <w:shd w:val="clear" w:color="auto" w:fill="auto"/>
            <w:vAlign w:val="center"/>
          </w:tcPr>
          <w:p w14:paraId="6D9AE8D9">
            <w:pPr>
              <w:widowControl/>
              <w:spacing w:line="300" w:lineRule="exact"/>
              <w:jc w:val="lef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sz w:val="21"/>
                <w:szCs w:val="21"/>
                <w:lang w:eastAsia="zh-CN"/>
                <w14:textFill>
                  <w14:solidFill>
                    <w14:schemeClr w14:val="tx1"/>
                  </w14:solidFill>
                </w14:textFill>
              </w:rPr>
              <w:t>科技厅</w:t>
            </w:r>
          </w:p>
        </w:tc>
      </w:tr>
      <w:tr w14:paraId="0058A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8" w:type="dxa"/>
            <w:vMerge w:val="restart"/>
            <w:vAlign w:val="center"/>
          </w:tcPr>
          <w:p w14:paraId="099ECE75">
            <w:pPr>
              <w:widowControl/>
              <w:spacing w:line="300" w:lineRule="exact"/>
              <w:jc w:val="center"/>
              <w:textAlignment w:val="cente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9</w:t>
            </w:r>
          </w:p>
        </w:tc>
        <w:tc>
          <w:tcPr>
            <w:tcW w:w="1337" w:type="dxa"/>
            <w:vMerge w:val="restart"/>
            <w:vAlign w:val="center"/>
          </w:tcPr>
          <w:p w14:paraId="14CFDF08">
            <w:pPr>
              <w:widowControl/>
              <w:spacing w:line="30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协助他人骗取省科学技术奖</w:t>
            </w:r>
          </w:p>
        </w:tc>
        <w:tc>
          <w:tcPr>
            <w:tcW w:w="3162" w:type="dxa"/>
            <w:vMerge w:val="restart"/>
            <w:vAlign w:val="center"/>
          </w:tcPr>
          <w:p w14:paraId="4DD91B19">
            <w:pPr>
              <w:widowControl/>
              <w:spacing w:line="300" w:lineRule="exact"/>
              <w:jc w:val="left"/>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eastAsia="zh-CN" w:bidi="ar"/>
              </w:rPr>
              <w:t>《四川省科学技术奖励办法》</w:t>
            </w:r>
            <w:r>
              <w:rPr>
                <w:rFonts w:hint="default" w:ascii="Times New Roman" w:hAnsi="Times New Roman" w:eastAsia="仿宋_GB2312" w:cs="Times New Roman"/>
                <w:color w:val="000000"/>
                <w:kern w:val="0"/>
                <w:sz w:val="21"/>
                <w:szCs w:val="21"/>
                <w:lang w:bidi="ar"/>
              </w:rPr>
              <w:t>第五十条</w:t>
            </w:r>
            <w:r>
              <w:rPr>
                <w:rFonts w:hint="default" w:ascii="Times New Roman" w:hAnsi="Times New Roman" w:eastAsia="仿宋_GB2312" w:cs="Times New Roman"/>
                <w:color w:val="000000"/>
                <w:kern w:val="0"/>
                <w:sz w:val="21"/>
                <w:szCs w:val="21"/>
                <w:lang w:eastAsia="zh-CN" w:bidi="ar"/>
              </w:rPr>
              <w:t>：</w:t>
            </w:r>
            <w:r>
              <w:rPr>
                <w:rFonts w:hint="default" w:ascii="Times New Roman" w:hAnsi="Times New Roman" w:eastAsia="仿宋_GB2312" w:cs="Times New Roman"/>
                <w:color w:val="000000"/>
                <w:kern w:val="0"/>
                <w:sz w:val="21"/>
                <w:szCs w:val="21"/>
                <w:lang w:bidi="ar"/>
              </w:rPr>
              <w:t>提名专家、学者、组织机构提供虚假数据、材料，协助他人骗取省科学技术奖的，由省科学技术行政部门给予通报批评；情节严重的，暂停或者取消其提名资格，并由所在单位或者有关部门依法给予处分。</w:t>
            </w:r>
          </w:p>
        </w:tc>
        <w:tc>
          <w:tcPr>
            <w:tcW w:w="1351" w:type="dxa"/>
            <w:tcBorders>
              <w:top w:val="single" w:color="auto" w:sz="4" w:space="0"/>
              <w:bottom w:val="single" w:color="auto" w:sz="4" w:space="0"/>
            </w:tcBorders>
            <w:vAlign w:val="center"/>
          </w:tcPr>
          <w:p w14:paraId="5BC853C6">
            <w:pPr>
              <w:widowControl/>
              <w:spacing w:line="300" w:lineRule="exact"/>
              <w:jc w:val="lef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减轻</w:t>
            </w:r>
            <w:r>
              <w:rPr>
                <w:rFonts w:hint="eastAsia" w:ascii="Times New Roman" w:hAnsi="Times New Roman" w:eastAsia="仿宋_GB2312" w:cs="Times New Roman"/>
                <w:color w:val="000000" w:themeColor="text1"/>
                <w:sz w:val="21"/>
                <w:szCs w:val="21"/>
                <w:lang w:eastAsia="zh-CN"/>
                <w14:textFill>
                  <w14:solidFill>
                    <w14:schemeClr w14:val="tx1"/>
                  </w14:solidFill>
                </w14:textFill>
              </w:rPr>
              <w:t>或者</w:t>
            </w:r>
            <w:r>
              <w:rPr>
                <w:rFonts w:hint="default" w:ascii="Times New Roman" w:hAnsi="Times New Roman" w:eastAsia="仿宋_GB2312" w:cs="Times New Roman"/>
                <w:color w:val="000000" w:themeColor="text1"/>
                <w:sz w:val="21"/>
                <w:szCs w:val="21"/>
                <w14:textFill>
                  <w14:solidFill>
                    <w14:schemeClr w14:val="tx1"/>
                  </w14:solidFill>
                </w14:textFill>
              </w:rPr>
              <w:t>从轻</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处罚</w:t>
            </w:r>
          </w:p>
        </w:tc>
        <w:tc>
          <w:tcPr>
            <w:tcW w:w="3818" w:type="dxa"/>
            <w:tcBorders>
              <w:top w:val="single" w:color="auto" w:sz="4" w:space="0"/>
              <w:bottom w:val="single" w:color="auto" w:sz="4" w:space="0"/>
            </w:tcBorders>
            <w:shd w:val="clear" w:color="auto" w:fill="auto"/>
            <w:vAlign w:val="center"/>
          </w:tcPr>
          <w:p w14:paraId="63E0998D">
            <w:pPr>
              <w:widowControl/>
              <w:spacing w:line="300" w:lineRule="exact"/>
              <w:textAlignment w:val="center"/>
              <w:rPr>
                <w:rFonts w:hint="default" w:ascii="Times New Roman" w:hAnsi="Times New Roman" w:eastAsia="仿宋_GB2312" w:cs="Times New Roman"/>
                <w:color w:val="000000" w:themeColor="text1"/>
                <w:kern w:val="0"/>
                <w:sz w:val="21"/>
                <w:szCs w:val="21"/>
                <w:lang w:eastAsia="zh-CN" w:bidi="ar"/>
                <w14:textFill>
                  <w14:solidFill>
                    <w14:schemeClr w14:val="tx1"/>
                  </w14:solidFill>
                </w14:textFill>
              </w:rPr>
            </w:pPr>
            <w:r>
              <w:rPr>
                <w:rFonts w:hint="default" w:ascii="Times New Roman" w:hAnsi="Times New Roman" w:eastAsia="仿宋_GB2312" w:cs="Times New Roman"/>
                <w:color w:val="000000"/>
                <w:kern w:val="0"/>
                <w:sz w:val="21"/>
                <w:szCs w:val="21"/>
                <w:lang w:bidi="ar"/>
              </w:rPr>
              <w:t>提名专家、学者、组织机构提供虚假数据、材料，协助他人骗取省科学技术奖</w:t>
            </w:r>
            <w:r>
              <w:rPr>
                <w:rFonts w:hint="default" w:ascii="Times New Roman" w:hAnsi="Times New Roman" w:eastAsia="仿宋_GB2312" w:cs="Times New Roman"/>
                <w:color w:val="000000"/>
                <w:kern w:val="0"/>
                <w:sz w:val="21"/>
                <w:szCs w:val="21"/>
                <w:lang w:eastAsia="zh-CN" w:bidi="ar"/>
              </w:rPr>
              <w:t>，危害较轻。</w:t>
            </w:r>
          </w:p>
        </w:tc>
        <w:tc>
          <w:tcPr>
            <w:tcW w:w="2810" w:type="dxa"/>
            <w:tcBorders>
              <w:top w:val="single" w:color="auto" w:sz="4" w:space="0"/>
              <w:bottom w:val="single" w:color="auto" w:sz="4" w:space="0"/>
            </w:tcBorders>
            <w:shd w:val="clear" w:color="auto" w:fill="auto"/>
            <w:vAlign w:val="center"/>
          </w:tcPr>
          <w:p w14:paraId="506184CA">
            <w:pPr>
              <w:widowControl/>
              <w:spacing w:line="300" w:lineRule="exact"/>
              <w:jc w:val="left"/>
              <w:textAlignment w:val="center"/>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通报批评</w:t>
            </w:r>
            <w:r>
              <w:rPr>
                <w:rFonts w:hint="default" w:ascii="Times New Roman" w:hAnsi="Times New Roman" w:eastAsia="仿宋_GB2312" w:cs="Times New Roman"/>
                <w:color w:val="000000"/>
                <w:kern w:val="0"/>
                <w:sz w:val="21"/>
                <w:szCs w:val="21"/>
                <w:lang w:eastAsia="zh-CN" w:bidi="ar"/>
              </w:rPr>
              <w:t>。</w:t>
            </w:r>
          </w:p>
        </w:tc>
        <w:tc>
          <w:tcPr>
            <w:tcW w:w="1377" w:type="dxa"/>
            <w:tcBorders>
              <w:top w:val="single" w:color="auto" w:sz="4" w:space="0"/>
              <w:bottom w:val="single" w:color="auto" w:sz="4" w:space="0"/>
            </w:tcBorders>
            <w:shd w:val="clear" w:color="auto" w:fill="auto"/>
            <w:vAlign w:val="center"/>
          </w:tcPr>
          <w:p w14:paraId="08238848">
            <w:pPr>
              <w:widowControl/>
              <w:spacing w:line="300" w:lineRule="exact"/>
              <w:jc w:val="left"/>
              <w:textAlignment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1"/>
                <w:szCs w:val="21"/>
                <w:lang w:eastAsia="zh-CN"/>
                <w14:textFill>
                  <w14:solidFill>
                    <w14:schemeClr w14:val="tx1"/>
                  </w14:solidFill>
                </w14:textFill>
              </w:rPr>
              <w:t>科技厅</w:t>
            </w:r>
          </w:p>
        </w:tc>
      </w:tr>
      <w:tr w14:paraId="5E488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8" w:type="dxa"/>
            <w:vMerge w:val="continue"/>
            <w:vAlign w:val="center"/>
          </w:tcPr>
          <w:p w14:paraId="53C69F97">
            <w:pPr>
              <w:widowControl/>
              <w:spacing w:line="300" w:lineRule="exact"/>
              <w:jc w:val="center"/>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p>
        </w:tc>
        <w:tc>
          <w:tcPr>
            <w:tcW w:w="1337" w:type="dxa"/>
            <w:vMerge w:val="continue"/>
            <w:vAlign w:val="center"/>
          </w:tcPr>
          <w:p w14:paraId="4F87CE67">
            <w:pPr>
              <w:widowControl/>
              <w:spacing w:line="300" w:lineRule="exact"/>
              <w:jc w:val="left"/>
              <w:textAlignment w:val="center"/>
              <w:rPr>
                <w:rFonts w:hint="default" w:ascii="Times New Roman" w:hAnsi="Times New Roman" w:eastAsia="仿宋_GB2312" w:cs="Times New Roman"/>
                <w:color w:val="000000"/>
                <w:kern w:val="0"/>
                <w:sz w:val="21"/>
                <w:szCs w:val="21"/>
                <w:lang w:bidi="ar"/>
              </w:rPr>
            </w:pPr>
          </w:p>
        </w:tc>
        <w:tc>
          <w:tcPr>
            <w:tcW w:w="3162" w:type="dxa"/>
            <w:vMerge w:val="continue"/>
            <w:vAlign w:val="center"/>
          </w:tcPr>
          <w:p w14:paraId="095ED40A">
            <w:pPr>
              <w:widowControl/>
              <w:spacing w:line="300" w:lineRule="exact"/>
              <w:jc w:val="center"/>
              <w:textAlignment w:val="center"/>
              <w:rPr>
                <w:rFonts w:hint="default" w:ascii="Times New Roman" w:hAnsi="Times New Roman" w:eastAsia="仿宋_GB2312" w:cs="Times New Roman"/>
                <w:color w:val="000000"/>
                <w:kern w:val="0"/>
                <w:sz w:val="21"/>
                <w:szCs w:val="21"/>
                <w:lang w:bidi="ar"/>
              </w:rPr>
            </w:pPr>
          </w:p>
        </w:tc>
        <w:tc>
          <w:tcPr>
            <w:tcW w:w="1351" w:type="dxa"/>
            <w:tcBorders>
              <w:top w:val="single" w:color="auto" w:sz="4" w:space="0"/>
              <w:bottom w:val="single" w:color="auto" w:sz="4" w:space="0"/>
            </w:tcBorders>
            <w:vAlign w:val="center"/>
          </w:tcPr>
          <w:p w14:paraId="4AF3E818">
            <w:pPr>
              <w:widowControl/>
              <w:spacing w:line="300" w:lineRule="exact"/>
              <w:jc w:val="lef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sz w:val="21"/>
                <w:szCs w:val="21"/>
                <w:lang w:eastAsia="zh-CN"/>
                <w14:textFill>
                  <w14:solidFill>
                    <w14:schemeClr w14:val="tx1"/>
                  </w14:solidFill>
                </w14:textFill>
              </w:rPr>
              <w:t>一般处罚</w:t>
            </w:r>
          </w:p>
        </w:tc>
        <w:tc>
          <w:tcPr>
            <w:tcW w:w="3818" w:type="dxa"/>
            <w:tcBorders>
              <w:top w:val="single" w:color="auto" w:sz="4" w:space="0"/>
              <w:bottom w:val="single" w:color="auto" w:sz="4" w:space="0"/>
            </w:tcBorders>
            <w:shd w:val="clear" w:color="auto" w:fill="auto"/>
            <w:vAlign w:val="center"/>
          </w:tcPr>
          <w:p w14:paraId="36E17259">
            <w:pPr>
              <w:widowControl/>
              <w:spacing w:line="300" w:lineRule="exact"/>
              <w:textAlignment w:val="center"/>
              <w:rPr>
                <w:rFonts w:hint="default" w:ascii="Times New Roman" w:hAnsi="Times New Roman" w:eastAsia="仿宋_GB2312" w:cs="Times New Roman"/>
                <w:color w:val="000000" w:themeColor="text1"/>
                <w:kern w:val="0"/>
                <w:sz w:val="21"/>
                <w:szCs w:val="21"/>
                <w:lang w:eastAsia="zh-CN" w:bidi="ar"/>
                <w14:textFill>
                  <w14:solidFill>
                    <w14:schemeClr w14:val="tx1"/>
                  </w14:solidFill>
                </w14:textFill>
              </w:rPr>
            </w:pPr>
            <w:r>
              <w:rPr>
                <w:rFonts w:hint="default" w:ascii="Times New Roman" w:hAnsi="Times New Roman" w:eastAsia="仿宋_GB2312" w:cs="Times New Roman"/>
                <w:color w:val="000000"/>
                <w:kern w:val="0"/>
                <w:sz w:val="21"/>
                <w:szCs w:val="21"/>
                <w:lang w:bidi="ar"/>
              </w:rPr>
              <w:t>提名专家、学者、组织机构提供虚假数据、材料，协助他人骗取省科学技术奖</w:t>
            </w:r>
            <w:r>
              <w:rPr>
                <w:rFonts w:hint="default" w:ascii="Times New Roman" w:hAnsi="Times New Roman" w:eastAsia="仿宋_GB2312" w:cs="Times New Roman"/>
                <w:color w:val="000000"/>
                <w:kern w:val="0"/>
                <w:sz w:val="21"/>
                <w:szCs w:val="21"/>
                <w:lang w:eastAsia="zh-CN" w:bidi="ar"/>
              </w:rPr>
              <w:t>，危害较重。</w:t>
            </w:r>
          </w:p>
        </w:tc>
        <w:tc>
          <w:tcPr>
            <w:tcW w:w="2810" w:type="dxa"/>
            <w:tcBorders>
              <w:top w:val="single" w:color="auto" w:sz="4" w:space="0"/>
              <w:bottom w:val="single" w:color="auto" w:sz="4" w:space="0"/>
            </w:tcBorders>
            <w:shd w:val="clear" w:color="auto" w:fill="auto"/>
            <w:vAlign w:val="center"/>
          </w:tcPr>
          <w:p w14:paraId="7F51A39A">
            <w:pPr>
              <w:widowControl/>
              <w:spacing w:line="300" w:lineRule="exact"/>
              <w:jc w:val="lef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kern w:val="0"/>
                <w:sz w:val="21"/>
                <w:szCs w:val="21"/>
                <w:lang w:bidi="ar"/>
              </w:rPr>
              <w:t>暂停提名资格</w:t>
            </w:r>
            <w:r>
              <w:rPr>
                <w:rFonts w:hint="default" w:ascii="Times New Roman" w:hAnsi="Times New Roman" w:eastAsia="仿宋_GB2312" w:cs="Times New Roman"/>
                <w:color w:val="000000"/>
                <w:kern w:val="0"/>
                <w:sz w:val="21"/>
                <w:szCs w:val="21"/>
                <w:lang w:eastAsia="zh-CN" w:bidi="ar"/>
              </w:rPr>
              <w:t>。</w:t>
            </w:r>
          </w:p>
        </w:tc>
        <w:tc>
          <w:tcPr>
            <w:tcW w:w="1377" w:type="dxa"/>
            <w:tcBorders>
              <w:top w:val="single" w:color="auto" w:sz="4" w:space="0"/>
              <w:bottom w:val="single" w:color="auto" w:sz="4" w:space="0"/>
            </w:tcBorders>
            <w:shd w:val="clear" w:color="auto" w:fill="auto"/>
            <w:vAlign w:val="center"/>
          </w:tcPr>
          <w:p w14:paraId="564DE2BE">
            <w:pPr>
              <w:widowControl/>
              <w:spacing w:line="30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eastAsia="zh-CN"/>
                <w14:textFill>
                  <w14:solidFill>
                    <w14:schemeClr w14:val="tx1"/>
                  </w14:solidFill>
                </w14:textFill>
              </w:rPr>
              <w:t>科技厅</w:t>
            </w:r>
          </w:p>
        </w:tc>
      </w:tr>
      <w:tr w14:paraId="442A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8" w:type="dxa"/>
            <w:vMerge w:val="continue"/>
            <w:vAlign w:val="center"/>
          </w:tcPr>
          <w:p w14:paraId="5DF62792">
            <w:pPr>
              <w:widowControl/>
              <w:spacing w:line="300" w:lineRule="exact"/>
              <w:jc w:val="center"/>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p>
        </w:tc>
        <w:tc>
          <w:tcPr>
            <w:tcW w:w="1337" w:type="dxa"/>
            <w:vMerge w:val="continue"/>
            <w:vAlign w:val="center"/>
          </w:tcPr>
          <w:p w14:paraId="228CFEA8">
            <w:pPr>
              <w:widowControl/>
              <w:spacing w:line="300" w:lineRule="exact"/>
              <w:jc w:val="left"/>
              <w:textAlignment w:val="center"/>
              <w:rPr>
                <w:rFonts w:hint="default" w:ascii="Times New Roman" w:hAnsi="Times New Roman" w:eastAsia="仿宋_GB2312" w:cs="Times New Roman"/>
                <w:color w:val="000000"/>
                <w:kern w:val="0"/>
                <w:sz w:val="21"/>
                <w:szCs w:val="21"/>
                <w:lang w:bidi="ar"/>
              </w:rPr>
            </w:pPr>
          </w:p>
        </w:tc>
        <w:tc>
          <w:tcPr>
            <w:tcW w:w="3162" w:type="dxa"/>
            <w:vMerge w:val="continue"/>
            <w:vAlign w:val="center"/>
          </w:tcPr>
          <w:p w14:paraId="42ADECC8">
            <w:pPr>
              <w:widowControl/>
              <w:spacing w:line="300" w:lineRule="exact"/>
              <w:jc w:val="center"/>
              <w:textAlignment w:val="center"/>
              <w:rPr>
                <w:rFonts w:hint="default" w:ascii="Times New Roman" w:hAnsi="Times New Roman" w:eastAsia="仿宋_GB2312" w:cs="Times New Roman"/>
                <w:color w:val="000000"/>
                <w:kern w:val="0"/>
                <w:sz w:val="21"/>
                <w:szCs w:val="21"/>
                <w:lang w:bidi="ar"/>
              </w:rPr>
            </w:pPr>
          </w:p>
        </w:tc>
        <w:tc>
          <w:tcPr>
            <w:tcW w:w="1351" w:type="dxa"/>
            <w:tcBorders>
              <w:top w:val="single" w:color="auto" w:sz="4" w:space="0"/>
              <w:bottom w:val="single" w:color="auto" w:sz="4" w:space="0"/>
            </w:tcBorders>
            <w:vAlign w:val="center"/>
          </w:tcPr>
          <w:p w14:paraId="6D57BD10">
            <w:pPr>
              <w:widowControl/>
              <w:spacing w:line="300" w:lineRule="exact"/>
              <w:jc w:val="lef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从重</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处罚</w:t>
            </w:r>
          </w:p>
        </w:tc>
        <w:tc>
          <w:tcPr>
            <w:tcW w:w="3818" w:type="dxa"/>
            <w:tcBorders>
              <w:top w:val="single" w:color="auto" w:sz="4" w:space="0"/>
              <w:bottom w:val="single" w:color="auto" w:sz="4" w:space="0"/>
            </w:tcBorders>
            <w:shd w:val="clear" w:color="auto" w:fill="auto"/>
            <w:vAlign w:val="center"/>
          </w:tcPr>
          <w:p w14:paraId="4E6327C1">
            <w:pPr>
              <w:widowControl/>
              <w:spacing w:line="300" w:lineRule="exact"/>
              <w:textAlignment w:val="center"/>
              <w:rPr>
                <w:rFonts w:hint="default" w:ascii="Times New Roman" w:hAnsi="Times New Roman" w:eastAsia="仿宋_GB2312" w:cs="Times New Roman"/>
                <w:color w:val="000000" w:themeColor="text1"/>
                <w:kern w:val="0"/>
                <w:sz w:val="21"/>
                <w:szCs w:val="21"/>
                <w:lang w:eastAsia="zh-CN" w:bidi="ar"/>
                <w14:textFill>
                  <w14:solidFill>
                    <w14:schemeClr w14:val="tx1"/>
                  </w14:solidFill>
                </w14:textFill>
              </w:rPr>
            </w:pPr>
            <w:r>
              <w:rPr>
                <w:rFonts w:hint="default" w:ascii="Times New Roman" w:hAnsi="Times New Roman" w:eastAsia="仿宋_GB2312" w:cs="Times New Roman"/>
                <w:color w:val="000000"/>
                <w:kern w:val="0"/>
                <w:sz w:val="21"/>
                <w:szCs w:val="21"/>
                <w:lang w:bidi="ar"/>
              </w:rPr>
              <w:t>提名专家、学者、组织机构提供虚假数据、材料</w:t>
            </w:r>
            <w:r>
              <w:rPr>
                <w:rFonts w:hint="default" w:ascii="Times New Roman" w:hAnsi="Times New Roman" w:eastAsia="仿宋_GB2312" w:cs="Times New Roman"/>
                <w:color w:val="000000"/>
                <w:kern w:val="0"/>
                <w:sz w:val="21"/>
                <w:szCs w:val="21"/>
                <w:lang w:eastAsia="zh-CN" w:bidi="ar"/>
              </w:rPr>
              <w:t>，</w:t>
            </w:r>
            <w:r>
              <w:rPr>
                <w:rFonts w:hint="default" w:ascii="Times New Roman" w:hAnsi="Times New Roman" w:eastAsia="仿宋_GB2312" w:cs="Times New Roman"/>
                <w:color w:val="000000"/>
                <w:kern w:val="0"/>
                <w:sz w:val="21"/>
                <w:szCs w:val="21"/>
                <w:lang w:bidi="ar"/>
              </w:rPr>
              <w:t>协助他人骗取省科学技术奖</w:t>
            </w:r>
            <w:r>
              <w:rPr>
                <w:rFonts w:hint="default" w:ascii="Times New Roman" w:hAnsi="Times New Roman" w:eastAsia="仿宋_GB2312" w:cs="Times New Roman"/>
                <w:color w:val="000000"/>
                <w:kern w:val="0"/>
                <w:sz w:val="21"/>
                <w:szCs w:val="21"/>
                <w:lang w:eastAsia="zh-CN" w:bidi="ar"/>
              </w:rPr>
              <w:t>，危害严重。</w:t>
            </w:r>
          </w:p>
        </w:tc>
        <w:tc>
          <w:tcPr>
            <w:tcW w:w="2810" w:type="dxa"/>
            <w:tcBorders>
              <w:top w:val="single" w:color="auto" w:sz="4" w:space="0"/>
              <w:bottom w:val="single" w:color="auto" w:sz="4" w:space="0"/>
            </w:tcBorders>
            <w:shd w:val="clear" w:color="auto" w:fill="auto"/>
            <w:vAlign w:val="center"/>
          </w:tcPr>
          <w:p w14:paraId="798F7D0D">
            <w:pPr>
              <w:widowControl/>
              <w:spacing w:line="300" w:lineRule="exact"/>
              <w:jc w:val="left"/>
              <w:textAlignment w:val="center"/>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kern w:val="0"/>
                <w:sz w:val="21"/>
                <w:szCs w:val="21"/>
                <w:lang w:bidi="ar"/>
              </w:rPr>
              <w:t>取消提名资格</w:t>
            </w:r>
            <w:r>
              <w:rPr>
                <w:rFonts w:hint="default" w:ascii="Times New Roman" w:hAnsi="Times New Roman" w:eastAsia="仿宋_GB2312" w:cs="Times New Roman"/>
                <w:color w:val="000000"/>
                <w:kern w:val="0"/>
                <w:sz w:val="21"/>
                <w:szCs w:val="21"/>
                <w:lang w:eastAsia="zh-CN" w:bidi="ar"/>
              </w:rPr>
              <w:t>。</w:t>
            </w:r>
          </w:p>
        </w:tc>
        <w:tc>
          <w:tcPr>
            <w:tcW w:w="1377" w:type="dxa"/>
            <w:tcBorders>
              <w:top w:val="single" w:color="auto" w:sz="4" w:space="0"/>
              <w:bottom w:val="single" w:color="auto" w:sz="4" w:space="0"/>
            </w:tcBorders>
            <w:shd w:val="clear" w:color="auto" w:fill="auto"/>
            <w:vAlign w:val="center"/>
          </w:tcPr>
          <w:p w14:paraId="6F529243">
            <w:pPr>
              <w:widowControl/>
              <w:spacing w:line="300" w:lineRule="exact"/>
              <w:jc w:val="left"/>
              <w:textAlignment w:val="center"/>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eastAsia="zh-CN"/>
                <w14:textFill>
                  <w14:solidFill>
                    <w14:schemeClr w14:val="tx1"/>
                  </w14:solidFill>
                </w14:textFill>
              </w:rPr>
              <w:t>科技厅</w:t>
            </w:r>
          </w:p>
        </w:tc>
      </w:tr>
    </w:tbl>
    <w:p w14:paraId="7BF6A2E8">
      <w:pPr>
        <w:pStyle w:val="12"/>
        <w:rPr>
          <w:rFonts w:hint="default" w:ascii="Times New Roman" w:hAnsi="Times New Roman" w:cs="Times New Roman"/>
          <w:lang w:val="en-US" w:eastAsia="zh-CN"/>
        </w:rPr>
      </w:pPr>
    </w:p>
    <w:sectPr>
      <w:pgSz w:w="16838" w:h="11906" w:orient="landscape"/>
      <w:pgMar w:top="1587" w:right="2098" w:bottom="1474" w:left="1984" w:header="851" w:footer="1304"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cript"/>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6378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9A9221">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iZIt4BAAC+AwAADgAAAGRycy9lMm9Eb2MueG1srVNLjhMxEN0jcQfL&#10;e+KeSIO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OKJki3gEAAL4DAAAOAAAAAAAA&#10;AAEAIAAAAB4BAABkcnMvZTJvRG9jLnhtbFBLBQYAAAAABgAGAFkBAABuBQAAAAA=&#10;">
              <v:fill on="f" focussize="0,0"/>
              <v:stroke on="f"/>
              <v:imagedata o:title=""/>
              <o:lock v:ext="edit" aspectratio="f"/>
              <v:textbox inset="0mm,0mm,0mm,0mm" style="mso-fit-shape-to-text:t;">
                <w:txbxContent>
                  <w:p w14:paraId="319A9221">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C0530">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6CA275">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Eos2t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ZLzpywNPDz92/nH7/OP7+y&#10;6yRP70NFWQ+e8uLwBgZamtkfyJlYDy3a9Cc+jOIk7ukirhoik+nSarlalRSSFJsPhF88XvcY4r0C&#10;y5JRc6TpZVHF8V2IY+qckqo5uNPG5Aka95eDMJOnSL2PPSYrDrthIrSD5kR86BlQnQ7wC2c9LUHN&#10;He08Z+atI43TvswGzsZuNoSTdLHmkbPRvI3jXh086n2XNy01FfzrQ6ROM4HUxlh76o7GmiWYVjDt&#10;zZ/nnPX47D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QSiza3gEAAL4DAAAOAAAAAAAA&#10;AAEAIAAAAB4BAABkcnMvZTJvRG9jLnhtbFBLBQYAAAAABgAGAFkBAABuBQAAAAA=&#10;">
              <v:fill on="f" focussize="0,0"/>
              <v:stroke on="f"/>
              <v:imagedata o:title=""/>
              <o:lock v:ext="edit" aspectratio="f"/>
              <v:textbox inset="0mm,0mm,0mm,0mm" style="mso-fit-shape-to-text:t;">
                <w:txbxContent>
                  <w:p w14:paraId="706CA275">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r>
        <w:separator/>
      </w:r>
    </w:p>
  </w:footnote>
  <w:footnote w:type="continuationSeparator" w:id="19">
    <w:p>
      <w:r>
        <w:continuationSeparator/>
      </w:r>
    </w:p>
  </w:footnote>
  <w:footnote w:id="0">
    <w:p w14:paraId="389E6B7E">
      <w:pPr>
        <w:pStyle w:val="9"/>
        <w:snapToGrid w:val="0"/>
        <w:rPr>
          <w:rFonts w:hint="default" w:ascii="Times New Roman" w:hAnsi="Times New Roman" w:eastAsia="仿宋_GB2312" w:cs="Times New Roman"/>
          <w:b/>
          <w:bCs/>
          <w:lang w:eastAsia="zh-CN"/>
        </w:rPr>
      </w:pPr>
      <w:r>
        <w:rPr>
          <w:rStyle w:val="16"/>
          <w:rFonts w:hint="default" w:ascii="Times New Roman" w:hAnsi="Times New Roman" w:eastAsia="仿宋_GB2312" w:cs="Times New Roman"/>
        </w:rPr>
        <w:footnoteRef/>
      </w:r>
      <w:r>
        <w:rPr>
          <w:rFonts w:hint="default" w:ascii="Times New Roman" w:hAnsi="Times New Roman" w:eastAsia="仿宋_GB2312" w:cs="Times New Roman"/>
        </w:rPr>
        <w:t xml:space="preserve"> </w:t>
      </w:r>
      <w:r>
        <w:rPr>
          <w:rFonts w:hint="default" w:ascii="Times New Roman" w:hAnsi="Times New Roman" w:eastAsia="仿宋_GB2312" w:cs="Times New Roman"/>
          <w:lang w:eastAsia="zh-CN"/>
        </w:rPr>
        <w:t>参考《四川省行政裁量权基准管理规定》（2024年，四川省人民政府令第360号）</w:t>
      </w:r>
      <w:r>
        <w:rPr>
          <w:rFonts w:hint="default" w:ascii="Times New Roman" w:hAnsi="Times New Roman" w:eastAsia="仿宋_GB2312" w:cs="Times New Roman"/>
          <w:b w:val="0"/>
          <w:bCs w:val="0"/>
          <w:lang w:eastAsia="zh-CN"/>
        </w:rPr>
        <w:t>。</w:t>
      </w:r>
    </w:p>
  </w:footnote>
  <w:footnote w:id="1">
    <w:p w14:paraId="6FF5807D">
      <w:pPr>
        <w:pStyle w:val="9"/>
        <w:snapToGrid w:val="0"/>
        <w:rPr>
          <w:rFonts w:hint="default" w:ascii="Times New Roman" w:hAnsi="Times New Roman" w:eastAsia="仿宋_GB2312" w:cs="Times New Roman"/>
          <w:lang w:eastAsia="zh-CN"/>
        </w:rPr>
      </w:pPr>
      <w:r>
        <w:rPr>
          <w:rStyle w:val="16"/>
          <w:rFonts w:hint="default" w:ascii="Times New Roman" w:hAnsi="Times New Roman" w:eastAsia="仿宋_GB2312" w:cs="Times New Roman"/>
        </w:rPr>
        <w:footnoteRef/>
      </w:r>
      <w:r>
        <w:rPr>
          <w:rFonts w:hint="default" w:ascii="Times New Roman" w:hAnsi="Times New Roman" w:eastAsia="仿宋_GB2312" w:cs="Times New Roman"/>
        </w:rPr>
        <w:t xml:space="preserve"> </w:t>
      </w:r>
      <w:r>
        <w:rPr>
          <w:rFonts w:hint="default" w:ascii="Times New Roman" w:hAnsi="Times New Roman" w:eastAsia="仿宋_GB2312" w:cs="Times New Roman"/>
          <w:lang w:eastAsia="zh-CN"/>
        </w:rPr>
        <w:t>参考《科学技术部行政处罚实施办法》（2023年，科学技术部令第20号）。</w:t>
      </w:r>
    </w:p>
  </w:footnote>
  <w:footnote w:id="2">
    <w:p w14:paraId="67D421A4">
      <w:pPr>
        <w:pStyle w:val="9"/>
        <w:snapToGrid w:val="0"/>
        <w:rPr>
          <w:rFonts w:hint="default" w:ascii="Times New Roman" w:hAnsi="Times New Roman" w:eastAsia="仿宋_GB2312" w:cs="Times New Roman"/>
          <w:b w:val="0"/>
          <w:bCs w:val="0"/>
          <w:lang w:eastAsia="zh-CN"/>
        </w:rPr>
      </w:pPr>
      <w:r>
        <w:rPr>
          <w:rStyle w:val="16"/>
          <w:rFonts w:hint="default" w:ascii="Times New Roman" w:hAnsi="Times New Roman" w:eastAsia="仿宋_GB2312" w:cs="Times New Roman"/>
        </w:rPr>
        <w:footnoteRef/>
      </w:r>
      <w:r>
        <w:rPr>
          <w:rFonts w:hint="default" w:ascii="Times New Roman" w:hAnsi="Times New Roman" w:eastAsia="仿宋_GB2312" w:cs="Times New Roman"/>
        </w:rPr>
        <w:t xml:space="preserve"> </w:t>
      </w:r>
      <w:r>
        <w:rPr>
          <w:rFonts w:hint="default" w:ascii="Times New Roman" w:hAnsi="Times New Roman" w:eastAsia="仿宋_GB2312" w:cs="Times New Roman"/>
          <w:lang w:eastAsia="zh-CN"/>
        </w:rPr>
        <w:t>参考《浙江省科技行政处罚裁量权实施办法》（浙科发政〔2023〕59号）</w:t>
      </w:r>
      <w:r>
        <w:rPr>
          <w:rFonts w:hint="default" w:ascii="Times New Roman" w:hAnsi="Times New Roman" w:eastAsia="仿宋_GB2312" w:cs="Times New Roman"/>
          <w:b w:val="0"/>
          <w:bCs w:val="0"/>
          <w:lang w:eastAsia="zh-CN"/>
        </w:rPr>
        <w:t>。</w:t>
      </w:r>
    </w:p>
  </w:footnote>
  <w:footnote w:id="3">
    <w:p w14:paraId="606A7DA6">
      <w:pPr>
        <w:pStyle w:val="9"/>
        <w:snapToGrid w:val="0"/>
        <w:rPr>
          <w:rFonts w:hint="default" w:ascii="Times New Roman" w:hAnsi="Times New Roman" w:eastAsia="仿宋_GB2312" w:cs="Times New Roman"/>
          <w:lang w:val="en-US" w:eastAsia="zh-CN"/>
        </w:rPr>
      </w:pPr>
      <w:r>
        <w:rPr>
          <w:rStyle w:val="16"/>
          <w:rFonts w:hint="default" w:ascii="Times New Roman" w:hAnsi="Times New Roman" w:eastAsia="仿宋_GB2312" w:cs="Times New Roman"/>
        </w:rPr>
        <w:footnoteRef/>
      </w:r>
      <w:r>
        <w:rPr>
          <w:rFonts w:hint="default" w:ascii="Times New Roman" w:hAnsi="Times New Roman" w:eastAsia="仿宋_GB2312" w:cs="Times New Roman"/>
        </w:rPr>
        <w:t xml:space="preserve"> </w:t>
      </w:r>
      <w:r>
        <w:rPr>
          <w:rFonts w:hint="default" w:ascii="Times New Roman" w:hAnsi="Times New Roman" w:eastAsia="仿宋_GB2312" w:cs="Times New Roman"/>
          <w:lang w:eastAsia="zh-CN"/>
        </w:rPr>
        <w:t>参考《山东省科技行政处罚裁量权实施办法》（鲁科字〔2023〕122号）。</w:t>
      </w:r>
    </w:p>
  </w:footnote>
  <w:footnote w:id="4">
    <w:p w14:paraId="4B01B20E">
      <w:pPr>
        <w:pStyle w:val="9"/>
        <w:snapToGrid w:val="0"/>
        <w:rPr>
          <w:rFonts w:hint="default" w:ascii="Times New Roman" w:hAnsi="Times New Roman" w:eastAsia="仿宋_GB2312" w:cs="Times New Roman"/>
          <w:lang w:eastAsia="zh-CN"/>
        </w:rPr>
      </w:pPr>
      <w:r>
        <w:rPr>
          <w:rStyle w:val="16"/>
          <w:rFonts w:hint="default" w:ascii="Times New Roman" w:hAnsi="Times New Roman" w:eastAsia="仿宋_GB2312" w:cs="Times New Roman"/>
        </w:rPr>
        <w:footnoteRef/>
      </w:r>
      <w:r>
        <w:rPr>
          <w:rFonts w:hint="default" w:ascii="Times New Roman" w:hAnsi="Times New Roman" w:eastAsia="仿宋_GB2312" w:cs="Times New Roman"/>
        </w:rPr>
        <w:t xml:space="preserve"> 《重庆市科学技术领域行政裁量权基准实施办法》（渝科局发〔2025〕35号）</w:t>
      </w:r>
      <w:r>
        <w:rPr>
          <w:rFonts w:hint="default" w:ascii="Times New Roman" w:hAnsi="Times New Roman" w:eastAsia="仿宋_GB2312" w:cs="Times New Roman"/>
          <w:lang w:eastAsia="zh-CN"/>
        </w:rPr>
        <w:t>。</w:t>
      </w:r>
    </w:p>
  </w:footnote>
  <w:footnote w:id="5">
    <w:p w14:paraId="7CADC890">
      <w:pPr>
        <w:pStyle w:val="9"/>
        <w:snapToGrid w:val="0"/>
        <w:rPr>
          <w:rFonts w:hint="default" w:ascii="Times New Roman" w:hAnsi="Times New Roman" w:eastAsia="仿宋_GB2312" w:cs="Times New Roman"/>
        </w:rPr>
      </w:pPr>
      <w:r>
        <w:rPr>
          <w:rStyle w:val="16"/>
          <w:rFonts w:hint="default" w:ascii="Times New Roman" w:hAnsi="Times New Roman" w:eastAsia="仿宋_GB2312" w:cs="Times New Roman"/>
        </w:rPr>
        <w:footnoteRef/>
      </w:r>
      <w:r>
        <w:rPr>
          <w:rFonts w:hint="default" w:ascii="Times New Roman" w:hAnsi="Times New Roman" w:eastAsia="仿宋_GB2312" w:cs="Times New Roman"/>
        </w:rPr>
        <w:t xml:space="preserve"> </w:t>
      </w:r>
      <w:r>
        <w:rPr>
          <w:rFonts w:hint="default" w:ascii="Times New Roman" w:hAnsi="Times New Roman" w:eastAsia="仿宋_GB2312" w:cs="Times New Roman"/>
          <w:lang w:eastAsia="zh-CN"/>
        </w:rPr>
        <w:t>参考《山西省科学技术厅行政处罚裁量权基准办法》（</w:t>
      </w:r>
      <w:r>
        <w:rPr>
          <w:rFonts w:hint="default" w:ascii="Times New Roman" w:hAnsi="Times New Roman" w:eastAsia="仿宋_GB2312" w:cs="Times New Roman"/>
          <w:lang w:val="en-US" w:eastAsia="zh-CN"/>
        </w:rPr>
        <w:t>2022年12月</w:t>
      </w:r>
      <w:r>
        <w:rPr>
          <w:rFonts w:hint="default" w:ascii="Times New Roman" w:hAnsi="Times New Roman" w:eastAsia="仿宋_GB2312" w:cs="Times New Roman"/>
          <w:lang w:eastAsia="zh-CN"/>
        </w:rPr>
        <w:t>）</w:t>
      </w:r>
      <w:r>
        <w:rPr>
          <w:rFonts w:hint="default" w:ascii="Times New Roman" w:hAnsi="Times New Roman" w:eastAsia="仿宋_GB2312" w:cs="Times New Roman"/>
        </w:rPr>
        <w:t>。</w:t>
      </w:r>
    </w:p>
  </w:footnote>
  <w:footnote w:id="6">
    <w:p w14:paraId="6F7FE7B9">
      <w:pPr>
        <w:pStyle w:val="9"/>
        <w:snapToGrid w:val="0"/>
        <w:rPr>
          <w:rFonts w:hint="default" w:ascii="Times New Roman" w:hAnsi="Times New Roman" w:eastAsia="仿宋_GB2312" w:cs="Times New Roman"/>
          <w:b/>
          <w:bCs/>
        </w:rPr>
      </w:pPr>
      <w:r>
        <w:rPr>
          <w:rStyle w:val="16"/>
          <w:rFonts w:hint="default" w:ascii="Times New Roman" w:hAnsi="Times New Roman" w:eastAsia="仿宋_GB2312" w:cs="Times New Roman"/>
        </w:rPr>
        <w:footnoteRef/>
      </w:r>
      <w:r>
        <w:rPr>
          <w:rFonts w:hint="default" w:ascii="Times New Roman" w:hAnsi="Times New Roman" w:eastAsia="仿宋_GB2312" w:cs="Times New Roman"/>
        </w:rPr>
        <w:t xml:space="preserve"> </w:t>
      </w:r>
      <w:r>
        <w:rPr>
          <w:rFonts w:hint="default" w:ascii="Times New Roman" w:hAnsi="Times New Roman" w:eastAsia="仿宋_GB2312" w:cs="Times New Roman"/>
          <w:lang w:eastAsia="zh-CN"/>
        </w:rPr>
        <w:t>参考《中华人民共和国行政处罚法》。</w:t>
      </w:r>
    </w:p>
  </w:footnote>
  <w:footnote w:id="7">
    <w:p w14:paraId="769BF4CA">
      <w:pPr>
        <w:pStyle w:val="9"/>
        <w:snapToGrid w:val="0"/>
        <w:rPr>
          <w:rFonts w:hint="default" w:ascii="Times New Roman" w:hAnsi="Times New Roman" w:eastAsia="仿宋_GB2312" w:cs="Times New Roman"/>
        </w:rPr>
      </w:pPr>
      <w:r>
        <w:rPr>
          <w:rStyle w:val="16"/>
          <w:rFonts w:hint="default" w:ascii="Times New Roman" w:hAnsi="Times New Roman" w:eastAsia="仿宋_GB2312" w:cs="Times New Roman"/>
        </w:rPr>
        <w:footnoteRef/>
      </w:r>
      <w:r>
        <w:rPr>
          <w:rFonts w:hint="default" w:ascii="Times New Roman" w:hAnsi="Times New Roman" w:eastAsia="仿宋_GB2312" w:cs="Times New Roman"/>
        </w:rPr>
        <w:t xml:space="preserve"> 《北京市科技行政处罚裁量权适用规定》</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京科发〔2021〕78号</w:t>
      </w:r>
      <w:r>
        <w:rPr>
          <w:rFonts w:hint="default" w:ascii="Times New Roman" w:hAnsi="Times New Roman" w:eastAsia="仿宋_GB2312" w:cs="Times New Roman"/>
          <w:lang w:eastAsia="zh-CN"/>
        </w:rPr>
        <w:t>）</w:t>
      </w:r>
      <w:r>
        <w:rPr>
          <w:rFonts w:hint="default" w:ascii="Times New Roman" w:hAnsi="Times New Roman" w:eastAsia="仿宋_GB2312" w:cs="Times New Roman"/>
        </w:rPr>
        <w:t>。</w:t>
      </w:r>
    </w:p>
  </w:footnote>
  <w:footnote w:id="8">
    <w:p w14:paraId="36A99BAC">
      <w:pPr>
        <w:pStyle w:val="9"/>
        <w:rPr>
          <w:rFonts w:hint="default" w:ascii="Times New Roman" w:hAnsi="Times New Roman" w:eastAsia="仿宋_GB2312" w:cs="Times New Roman"/>
        </w:rPr>
      </w:pPr>
      <w:r>
        <w:rPr>
          <w:rStyle w:val="16"/>
          <w:rFonts w:hint="default" w:ascii="Times New Roman" w:hAnsi="Times New Roman" w:eastAsia="仿宋_GB2312" w:cs="Times New Roman"/>
        </w:rPr>
        <w:footnoteRef/>
      </w:r>
      <w:r>
        <w:rPr>
          <w:rFonts w:hint="default" w:ascii="Times New Roman" w:hAnsi="Times New Roman" w:eastAsia="仿宋_GB2312" w:cs="Times New Roman"/>
        </w:rPr>
        <w:t xml:space="preserve"> </w:t>
      </w:r>
      <w:r>
        <w:rPr>
          <w:rFonts w:hint="default" w:ascii="Times New Roman" w:hAnsi="Times New Roman" w:eastAsia="仿宋_GB2312" w:cs="Times New Roman"/>
          <w:lang w:eastAsia="zh-CN"/>
        </w:rPr>
        <w:t>参考</w:t>
      </w:r>
      <w:r>
        <w:rPr>
          <w:rFonts w:hint="default" w:ascii="Times New Roman" w:hAnsi="Times New Roman" w:eastAsia="仿宋_GB2312" w:cs="Times New Roman"/>
        </w:rPr>
        <w:t>国家标准《实验动物 微生物、寄生虫等级</w:t>
      </w:r>
      <w:r>
        <w:rPr>
          <w:rFonts w:hint="default" w:ascii="Times New Roman" w:hAnsi="Times New Roman" w:eastAsia="仿宋_GB2312" w:cs="Times New Roman"/>
          <w:lang w:eastAsia="zh-CN"/>
        </w:rPr>
        <w:t>及</w:t>
      </w:r>
      <w:r>
        <w:rPr>
          <w:rFonts w:hint="default" w:ascii="Times New Roman" w:hAnsi="Times New Roman" w:eastAsia="仿宋_GB2312" w:cs="Times New Roman"/>
        </w:rPr>
        <w:t>监测》（14925-2023）。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18"/>
    <w:footnote w:id="19"/>
  </w:footnotePr>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F3C6F"/>
    <w:rsid w:val="16BB94E2"/>
    <w:rsid w:val="19FA73B9"/>
    <w:rsid w:val="1AFF8513"/>
    <w:rsid w:val="1B2F709E"/>
    <w:rsid w:val="1BB77E35"/>
    <w:rsid w:val="1BF1AE05"/>
    <w:rsid w:val="1BF7C624"/>
    <w:rsid w:val="1CDAF155"/>
    <w:rsid w:val="1E7F65B7"/>
    <w:rsid w:val="1FBF23A4"/>
    <w:rsid w:val="1FFFEF0E"/>
    <w:rsid w:val="25FD0697"/>
    <w:rsid w:val="26DF6392"/>
    <w:rsid w:val="2BFF3F27"/>
    <w:rsid w:val="2CFE2233"/>
    <w:rsid w:val="2DC76B04"/>
    <w:rsid w:val="2DF7C7C7"/>
    <w:rsid w:val="2EAD964B"/>
    <w:rsid w:val="2EFD3E78"/>
    <w:rsid w:val="2F17C84B"/>
    <w:rsid w:val="2FEFF223"/>
    <w:rsid w:val="336BFB9B"/>
    <w:rsid w:val="33DFEC6A"/>
    <w:rsid w:val="33F305C9"/>
    <w:rsid w:val="38FA72CA"/>
    <w:rsid w:val="3AE6416E"/>
    <w:rsid w:val="3AFD08F6"/>
    <w:rsid w:val="3BFB5A5C"/>
    <w:rsid w:val="3CEB11E5"/>
    <w:rsid w:val="3DBE4D53"/>
    <w:rsid w:val="3DFF559F"/>
    <w:rsid w:val="3EAB0813"/>
    <w:rsid w:val="3EAFEB71"/>
    <w:rsid w:val="3EC71440"/>
    <w:rsid w:val="3ED2FA75"/>
    <w:rsid w:val="3EEFED12"/>
    <w:rsid w:val="3F5FF26A"/>
    <w:rsid w:val="3F6F4A1D"/>
    <w:rsid w:val="3F78C61E"/>
    <w:rsid w:val="3F796798"/>
    <w:rsid w:val="3F7FD90F"/>
    <w:rsid w:val="3FAE74DB"/>
    <w:rsid w:val="3FBF8973"/>
    <w:rsid w:val="3FF32BA6"/>
    <w:rsid w:val="3FFD6214"/>
    <w:rsid w:val="42F901EB"/>
    <w:rsid w:val="47DB3517"/>
    <w:rsid w:val="47FEAC0C"/>
    <w:rsid w:val="4AFDDC86"/>
    <w:rsid w:val="4BF2E403"/>
    <w:rsid w:val="4BFF3A42"/>
    <w:rsid w:val="4EEEAC38"/>
    <w:rsid w:val="4EF2CD24"/>
    <w:rsid w:val="4EFCB038"/>
    <w:rsid w:val="4F83B813"/>
    <w:rsid w:val="4FFBD2CD"/>
    <w:rsid w:val="4FFE814A"/>
    <w:rsid w:val="535DF3B3"/>
    <w:rsid w:val="57F717E3"/>
    <w:rsid w:val="5B6F85B5"/>
    <w:rsid w:val="5BEAD6F2"/>
    <w:rsid w:val="5BFE2C5B"/>
    <w:rsid w:val="5DFB60A7"/>
    <w:rsid w:val="5E7A8EA0"/>
    <w:rsid w:val="5E7E26CD"/>
    <w:rsid w:val="5ED304A5"/>
    <w:rsid w:val="5EFF3E9B"/>
    <w:rsid w:val="5EFFDA72"/>
    <w:rsid w:val="5F62456C"/>
    <w:rsid w:val="5F7FBE13"/>
    <w:rsid w:val="5FBD375C"/>
    <w:rsid w:val="5FDC7F5A"/>
    <w:rsid w:val="5FDFBC04"/>
    <w:rsid w:val="5FE72219"/>
    <w:rsid w:val="5FFD4BF9"/>
    <w:rsid w:val="5FFDAC6B"/>
    <w:rsid w:val="5FFF7095"/>
    <w:rsid w:val="5FFFA4BE"/>
    <w:rsid w:val="617F88E2"/>
    <w:rsid w:val="62FF7689"/>
    <w:rsid w:val="63F470F3"/>
    <w:rsid w:val="65FFE7B6"/>
    <w:rsid w:val="66FBC92B"/>
    <w:rsid w:val="67CF60B5"/>
    <w:rsid w:val="67FF7619"/>
    <w:rsid w:val="6BCF5FA2"/>
    <w:rsid w:val="6BF4F163"/>
    <w:rsid w:val="6BFD78AA"/>
    <w:rsid w:val="6C7F184B"/>
    <w:rsid w:val="6C7FF662"/>
    <w:rsid w:val="6D3EB48C"/>
    <w:rsid w:val="6D63B191"/>
    <w:rsid w:val="6D9C7E16"/>
    <w:rsid w:val="6DABE77D"/>
    <w:rsid w:val="6DDE3E35"/>
    <w:rsid w:val="6E755AA3"/>
    <w:rsid w:val="6E7B575C"/>
    <w:rsid w:val="6EE17270"/>
    <w:rsid w:val="6EF7D5CA"/>
    <w:rsid w:val="6EFDE713"/>
    <w:rsid w:val="6F35B6F3"/>
    <w:rsid w:val="6F638408"/>
    <w:rsid w:val="6FA545E1"/>
    <w:rsid w:val="6FBF8237"/>
    <w:rsid w:val="6FC5E590"/>
    <w:rsid w:val="6FDD52E3"/>
    <w:rsid w:val="6FEAD9D3"/>
    <w:rsid w:val="6FFBA83B"/>
    <w:rsid w:val="6FFBAFF1"/>
    <w:rsid w:val="6FFD14B0"/>
    <w:rsid w:val="75F87F20"/>
    <w:rsid w:val="75FB7F86"/>
    <w:rsid w:val="76675CAD"/>
    <w:rsid w:val="76CF47A9"/>
    <w:rsid w:val="76EDFD1A"/>
    <w:rsid w:val="773E5748"/>
    <w:rsid w:val="77B95129"/>
    <w:rsid w:val="77BE4C9B"/>
    <w:rsid w:val="77BF8784"/>
    <w:rsid w:val="77D8CCCC"/>
    <w:rsid w:val="77EF24B3"/>
    <w:rsid w:val="77F5D70A"/>
    <w:rsid w:val="790FCD55"/>
    <w:rsid w:val="79F587A4"/>
    <w:rsid w:val="7A4E388E"/>
    <w:rsid w:val="7A7F28A6"/>
    <w:rsid w:val="7ABFDF4F"/>
    <w:rsid w:val="7ABFFE98"/>
    <w:rsid w:val="7AC748BD"/>
    <w:rsid w:val="7AFB72D1"/>
    <w:rsid w:val="7B81423F"/>
    <w:rsid w:val="7BBD76B8"/>
    <w:rsid w:val="7BBE29C6"/>
    <w:rsid w:val="7BEDFB29"/>
    <w:rsid w:val="7BFB586B"/>
    <w:rsid w:val="7CDD4517"/>
    <w:rsid w:val="7CEE3629"/>
    <w:rsid w:val="7D6FE1DA"/>
    <w:rsid w:val="7D9AB034"/>
    <w:rsid w:val="7DDDF9C0"/>
    <w:rsid w:val="7DF7686E"/>
    <w:rsid w:val="7DFAE97A"/>
    <w:rsid w:val="7DFF28CE"/>
    <w:rsid w:val="7E7B9835"/>
    <w:rsid w:val="7E7FA46F"/>
    <w:rsid w:val="7E8D65C9"/>
    <w:rsid w:val="7EBD1883"/>
    <w:rsid w:val="7EBF320F"/>
    <w:rsid w:val="7ECCF0C7"/>
    <w:rsid w:val="7F2DB65D"/>
    <w:rsid w:val="7F5AC27F"/>
    <w:rsid w:val="7F6AB8B4"/>
    <w:rsid w:val="7F6E20CC"/>
    <w:rsid w:val="7F9F0779"/>
    <w:rsid w:val="7FAB9FAC"/>
    <w:rsid w:val="7FAE2511"/>
    <w:rsid w:val="7FB777BF"/>
    <w:rsid w:val="7FBF073B"/>
    <w:rsid w:val="7FCEB140"/>
    <w:rsid w:val="7FDFBBE6"/>
    <w:rsid w:val="7FE68713"/>
    <w:rsid w:val="7FEFE340"/>
    <w:rsid w:val="7FF2223A"/>
    <w:rsid w:val="7FF54713"/>
    <w:rsid w:val="7FF7B097"/>
    <w:rsid w:val="7FF91240"/>
    <w:rsid w:val="7FFB5488"/>
    <w:rsid w:val="7FFD70B8"/>
    <w:rsid w:val="7FFD805E"/>
    <w:rsid w:val="7FFEDC67"/>
    <w:rsid w:val="7FFFD52C"/>
    <w:rsid w:val="83D6158C"/>
    <w:rsid w:val="87EF5840"/>
    <w:rsid w:val="948B546B"/>
    <w:rsid w:val="97AFFAC0"/>
    <w:rsid w:val="9AEE88D1"/>
    <w:rsid w:val="9BB62E04"/>
    <w:rsid w:val="9BFE5FE4"/>
    <w:rsid w:val="9BFE894F"/>
    <w:rsid w:val="9BFF00E7"/>
    <w:rsid w:val="9BFF2396"/>
    <w:rsid w:val="9D7F3163"/>
    <w:rsid w:val="9E3D77DC"/>
    <w:rsid w:val="9F738F51"/>
    <w:rsid w:val="9FF9CEC2"/>
    <w:rsid w:val="A5FC51F4"/>
    <w:rsid w:val="A7FDFF7B"/>
    <w:rsid w:val="AB3FA0DA"/>
    <w:rsid w:val="ABFB22E0"/>
    <w:rsid w:val="AFFFB328"/>
    <w:rsid w:val="B1FEB1CC"/>
    <w:rsid w:val="B2E3A64E"/>
    <w:rsid w:val="B55B38E9"/>
    <w:rsid w:val="BADB2CA6"/>
    <w:rsid w:val="BBE7F9D0"/>
    <w:rsid w:val="BBEB94F9"/>
    <w:rsid w:val="BBED4D0D"/>
    <w:rsid w:val="BDB73DA6"/>
    <w:rsid w:val="BDBEEE32"/>
    <w:rsid w:val="BDFFEC25"/>
    <w:rsid w:val="BEAFFFEC"/>
    <w:rsid w:val="BEDEA95E"/>
    <w:rsid w:val="BEFF752F"/>
    <w:rsid w:val="BEFFF9C8"/>
    <w:rsid w:val="BF3B8697"/>
    <w:rsid w:val="BF9F699C"/>
    <w:rsid w:val="BFA60F46"/>
    <w:rsid w:val="BFED5AF7"/>
    <w:rsid w:val="BFF748C8"/>
    <w:rsid w:val="C3BEE4DC"/>
    <w:rsid w:val="C4D97761"/>
    <w:rsid w:val="C6B37912"/>
    <w:rsid w:val="C7510D4E"/>
    <w:rsid w:val="C7BB4A58"/>
    <w:rsid w:val="CCFFABE8"/>
    <w:rsid w:val="CDFFDE42"/>
    <w:rsid w:val="CFFF1607"/>
    <w:rsid w:val="CFFF761A"/>
    <w:rsid w:val="CFFFA90C"/>
    <w:rsid w:val="D19169B4"/>
    <w:rsid w:val="D255699E"/>
    <w:rsid w:val="D3F60187"/>
    <w:rsid w:val="D5FB3F0E"/>
    <w:rsid w:val="D66FC5F1"/>
    <w:rsid w:val="D6B65D2D"/>
    <w:rsid w:val="D6DF535E"/>
    <w:rsid w:val="D6F6A7E2"/>
    <w:rsid w:val="D7EFEF73"/>
    <w:rsid w:val="DAFDA24B"/>
    <w:rsid w:val="DB55B660"/>
    <w:rsid w:val="DB670835"/>
    <w:rsid w:val="DBEF8BF6"/>
    <w:rsid w:val="DBFF3153"/>
    <w:rsid w:val="DBFF9CFA"/>
    <w:rsid w:val="DD4FAA15"/>
    <w:rsid w:val="DDFA2A43"/>
    <w:rsid w:val="DDFDAEA9"/>
    <w:rsid w:val="DE7288E7"/>
    <w:rsid w:val="DEF79E14"/>
    <w:rsid w:val="DEFF66B7"/>
    <w:rsid w:val="DF3F0429"/>
    <w:rsid w:val="DF5F439F"/>
    <w:rsid w:val="DF99800A"/>
    <w:rsid w:val="DFAF316C"/>
    <w:rsid w:val="DFB901F5"/>
    <w:rsid w:val="DFDBE812"/>
    <w:rsid w:val="DFF911F9"/>
    <w:rsid w:val="DFFDB708"/>
    <w:rsid w:val="E4FFACBD"/>
    <w:rsid w:val="E6CFAE3F"/>
    <w:rsid w:val="E75764F1"/>
    <w:rsid w:val="E7A388AA"/>
    <w:rsid w:val="EA74F86F"/>
    <w:rsid w:val="EBD9915E"/>
    <w:rsid w:val="EBEBE9CF"/>
    <w:rsid w:val="EBFCF9B2"/>
    <w:rsid w:val="ECFB0B52"/>
    <w:rsid w:val="EE3F3338"/>
    <w:rsid w:val="EEFD7A2A"/>
    <w:rsid w:val="EF3CFD2F"/>
    <w:rsid w:val="EFBA0787"/>
    <w:rsid w:val="EFDBF64D"/>
    <w:rsid w:val="EFEB37F1"/>
    <w:rsid w:val="EFFDA2AC"/>
    <w:rsid w:val="F5ABC411"/>
    <w:rsid w:val="F5DC2EE6"/>
    <w:rsid w:val="F5F5EA6F"/>
    <w:rsid w:val="F62F72D6"/>
    <w:rsid w:val="F673046D"/>
    <w:rsid w:val="F68D1841"/>
    <w:rsid w:val="F6CD1288"/>
    <w:rsid w:val="F71A6A46"/>
    <w:rsid w:val="F76D3CDA"/>
    <w:rsid w:val="F7722FB3"/>
    <w:rsid w:val="F78F3932"/>
    <w:rsid w:val="F7EE8EE0"/>
    <w:rsid w:val="F7FAF4F0"/>
    <w:rsid w:val="F7FB0431"/>
    <w:rsid w:val="F7FD057D"/>
    <w:rsid w:val="F7FF6CCE"/>
    <w:rsid w:val="F7FFF9FE"/>
    <w:rsid w:val="F9DFDB44"/>
    <w:rsid w:val="FADF0DE7"/>
    <w:rsid w:val="FAF6F04B"/>
    <w:rsid w:val="FAFDE593"/>
    <w:rsid w:val="FB5FE193"/>
    <w:rsid w:val="FB71A1A7"/>
    <w:rsid w:val="FB77D611"/>
    <w:rsid w:val="FB7AFAB6"/>
    <w:rsid w:val="FBBD612E"/>
    <w:rsid w:val="FBDDB819"/>
    <w:rsid w:val="FBF77EAF"/>
    <w:rsid w:val="FBFF2A6E"/>
    <w:rsid w:val="FCFBDFF1"/>
    <w:rsid w:val="FD1D0B31"/>
    <w:rsid w:val="FD7CBFA1"/>
    <w:rsid w:val="FDDA1EA6"/>
    <w:rsid w:val="FDDABC2C"/>
    <w:rsid w:val="FDDFF2C1"/>
    <w:rsid w:val="FDF7E385"/>
    <w:rsid w:val="FDFF4436"/>
    <w:rsid w:val="FE23394A"/>
    <w:rsid w:val="FE760B70"/>
    <w:rsid w:val="FEBE671A"/>
    <w:rsid w:val="FED9C31E"/>
    <w:rsid w:val="FEF9F67B"/>
    <w:rsid w:val="FF37239D"/>
    <w:rsid w:val="FF3F1CCF"/>
    <w:rsid w:val="FF6E644A"/>
    <w:rsid w:val="FF7488F7"/>
    <w:rsid w:val="FF7BBE4E"/>
    <w:rsid w:val="FF7FEBD2"/>
    <w:rsid w:val="FF8231F2"/>
    <w:rsid w:val="FFA3E8CC"/>
    <w:rsid w:val="FFAF8FE0"/>
    <w:rsid w:val="FFAFECA3"/>
    <w:rsid w:val="FFC97A09"/>
    <w:rsid w:val="FFDE6D07"/>
    <w:rsid w:val="FFE70775"/>
    <w:rsid w:val="FFEDF8DA"/>
    <w:rsid w:val="FFF5B414"/>
    <w:rsid w:val="FFF5EF7B"/>
    <w:rsid w:val="FFF76B2A"/>
    <w:rsid w:val="FFF793D0"/>
    <w:rsid w:val="FFF7BEBD"/>
    <w:rsid w:val="FFFBB724"/>
    <w:rsid w:val="FFFBE6CD"/>
    <w:rsid w:val="FFFC2B2C"/>
    <w:rsid w:val="FFFC34BB"/>
    <w:rsid w:val="FFFD2C1B"/>
    <w:rsid w:val="FFFEE72B"/>
    <w:rsid w:val="FFFFB97E"/>
    <w:rsid w:val="FFFFFC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6" w:lineRule="auto"/>
      <w:ind w:firstLine="960" w:firstLineChars="200"/>
      <w:outlineLvl w:val="0"/>
    </w:pPr>
    <w:rPr>
      <w:rFonts w:ascii="等线" w:hAnsi="等线" w:eastAsia="仿宋_GB2312" w:cs="宋体"/>
      <w:b/>
      <w:bCs/>
      <w:kern w:val="44"/>
      <w:sz w:val="44"/>
      <w:szCs w:val="4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图表目录1"/>
    <w:basedOn w:val="1"/>
    <w:next w:val="1"/>
    <w:qFormat/>
    <w:uiPriority w:val="0"/>
    <w:pPr>
      <w:ind w:left="200" w:leftChars="200" w:hanging="200" w:hangingChars="200"/>
    </w:pPr>
    <w:rPr>
      <w:rFonts w:ascii="Times New Roman" w:hAnsi="Times New Roman" w:eastAsia="仿宋_GB2312"/>
      <w:sz w:val="32"/>
    </w:rPr>
  </w:style>
  <w:style w:type="paragraph" w:styleId="4">
    <w:name w:val="Body Text"/>
    <w:basedOn w:val="1"/>
    <w:next w:val="1"/>
    <w:qFormat/>
    <w:uiPriority w:val="0"/>
    <w:pPr>
      <w:spacing w:after="120"/>
    </w:pPr>
    <w:rPr>
      <w:kern w:val="0"/>
      <w:sz w:val="20"/>
    </w:rPr>
  </w:style>
  <w:style w:type="paragraph" w:styleId="5">
    <w:name w:val="Body Text Indent"/>
    <w:basedOn w:val="1"/>
    <w:next w:val="6"/>
    <w:unhideWhenUsed/>
    <w:qFormat/>
    <w:uiPriority w:val="99"/>
    <w:pPr>
      <w:spacing w:after="120"/>
      <w:ind w:left="420" w:leftChars="200"/>
    </w:pPr>
    <w:rPr>
      <w:rFonts w:ascii="Calibri" w:hAnsi="Calibri" w:cs="Times New Roman"/>
    </w:rPr>
  </w:style>
  <w:style w:type="paragraph" w:styleId="6">
    <w:name w:val="Body Text First Indent 2"/>
    <w:basedOn w:val="5"/>
    <w:next w:val="1"/>
    <w:unhideWhenUsed/>
    <w:qFormat/>
    <w:uiPriority w:val="99"/>
    <w:pPr>
      <w:ind w:firstLine="420" w:firstLine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qFormat/>
    <w:uiPriority w:val="0"/>
    <w:pPr>
      <w:snapToGrid w:val="0"/>
      <w:jc w:val="left"/>
    </w:pPr>
    <w:rPr>
      <w:sz w:val="18"/>
    </w:rPr>
  </w:style>
  <w:style w:type="paragraph" w:styleId="10">
    <w:name w:val="Normal (Web)"/>
    <w:basedOn w:val="1"/>
    <w:qFormat/>
    <w:uiPriority w:val="99"/>
    <w:pPr>
      <w:spacing w:before="100" w:beforeAutospacing="1" w:after="100" w:afterAutospacing="1"/>
      <w:jc w:val="left"/>
    </w:pPr>
    <w:rPr>
      <w:b/>
      <w:kern w:val="0"/>
      <w:sz w:val="24"/>
      <w:szCs w:val="36"/>
    </w:rPr>
  </w:style>
  <w:style w:type="paragraph" w:styleId="11">
    <w:name w:val="Title"/>
    <w:qFormat/>
    <w:uiPriority w:val="0"/>
    <w:pPr>
      <w:keepNext w:val="0"/>
      <w:keepLines w:val="0"/>
      <w:widowControl w:val="0"/>
      <w:suppressLineNumbers w:val="0"/>
      <w:spacing w:before="0" w:beforeAutospacing="0" w:after="0" w:afterAutospacing="0" w:line="240" w:lineRule="atLeast"/>
      <w:ind w:left="0" w:right="0"/>
      <w:jc w:val="left"/>
      <w:outlineLvl w:val="0"/>
    </w:pPr>
    <w:rPr>
      <w:rFonts w:hint="default" w:ascii="Arial" w:hAnsi="Arial" w:eastAsia="宋体" w:cs="Times New Roman"/>
      <w:kern w:val="2"/>
      <w:sz w:val="32"/>
      <w:szCs w:val="32"/>
      <w:lang w:val="en-US" w:eastAsia="zh-CN" w:bidi="ar"/>
    </w:rPr>
  </w:style>
  <w:style w:type="paragraph" w:styleId="12">
    <w:name w:val="Body Text First Indent"/>
    <w:basedOn w:val="4"/>
    <w:qFormat/>
    <w:uiPriority w:val="0"/>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otnote reference"/>
    <w:basedOn w:val="15"/>
    <w:qFormat/>
    <w:uiPriority w:val="0"/>
    <w:rPr>
      <w:vertAlign w:val="superscript"/>
    </w:rPr>
  </w:style>
  <w:style w:type="paragraph" w:customStyle="1" w:styleId="17">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8">
    <w:name w:val="No Spacing"/>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 w:type="character" w:customStyle="1" w:styleId="19">
    <w:name w:val="font51"/>
    <w:qFormat/>
    <w:uiPriority w:val="0"/>
    <w:rPr>
      <w:rFonts w:hint="eastAsia" w:ascii="仿宋_GB2312" w:eastAsia="仿宋_GB2312" w:cs="仿宋_GB2312"/>
      <w:color w:val="FF0000"/>
      <w:sz w:val="22"/>
      <w:szCs w:val="22"/>
      <w:u w:val="none"/>
    </w:rPr>
  </w:style>
  <w:style w:type="paragraph" w:customStyle="1" w:styleId="2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6560</Words>
  <Characters>6621</Characters>
  <Lines>1</Lines>
  <Paragraphs>1</Paragraphs>
  <TotalTime>6</TotalTime>
  <ScaleCrop>false</ScaleCrop>
  <LinksUpToDate>false</LinksUpToDate>
  <CharactersWithSpaces>6680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2014-11-17T04:08:00Z</dcterms:created>
  <dc:creator>Administrator</dc:creator>
  <cp:lastModifiedBy>柏林</cp:lastModifiedBy>
  <cp:lastPrinted>2026-02-05T17:57:00Z</cp:lastPrinted>
  <dcterms:modified xsi:type="dcterms:W3CDTF">2026-02-05T02:16:51Z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716CE6D5E48D4CCCBA12D0745C01CC9E_13</vt:lpwstr>
  </property>
</Properties>
</file>