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pStyle w:val="2"/>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成都市新都区建设林盘经济价值高地推动林盘经济高质量发展扶持政策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 为深入贯彻中央、省委、市委关于“三农”工作决策部署，构建生产共营、生活共融、生态共享的川西林盘生产生活圈，激励村集体经济不断发展壮大，促进林盘生态价值转化，着力打造一批林盘景区，新潮旅游目的地，美丽乡村示范地，推动林盘经济高质量发展，特制定本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一、扶持对象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新都区内通过盘活林盘内</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合法要素</w:t>
      </w:r>
      <w:r>
        <w:rPr>
          <w:rFonts w:hint="default" w:ascii="Times New Roman" w:hAnsi="Times New Roman" w:eastAsia="方正仿宋简体" w:cs="Times New Roman"/>
          <w:color w:val="000000" w:themeColor="text1"/>
          <w:sz w:val="32"/>
          <w:szCs w:val="32"/>
          <w14:textFill>
            <w14:solidFill>
              <w14:schemeClr w14:val="tx1"/>
            </w14:solidFill>
          </w14:textFill>
        </w:rPr>
        <w:t>资源，进行场景营造，引入产业发展新型经济的村（涉农社区）集体经济组织，个人、企业（个体工商户）和组织机构（以下统称“市场主体”）。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14:textFill>
            <w14:solidFill>
              <w14:schemeClr w14:val="tx1"/>
            </w14:solidFill>
          </w14:textFill>
        </w:rPr>
      </w:pPr>
      <w:r>
        <w:rPr>
          <w:rFonts w:hint="default" w:ascii="方正黑体_GBK" w:hAnsi="方正黑体_GBK" w:eastAsia="方正黑体_GBK" w:cs="方正黑体_GBK"/>
          <w:color w:val="000000" w:themeColor="text1"/>
          <w:sz w:val="32"/>
          <w:szCs w:val="32"/>
          <w14:textFill>
            <w14:solidFill>
              <w14:schemeClr w14:val="tx1"/>
            </w14:solidFill>
          </w14:textFill>
        </w:rPr>
        <w:t>二、扶持内容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（一）鼓励村集体经济组织创新经营发展壮大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1.鼓励村（社区）集体经济组织依托</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经营管理的林盘资源</w:t>
      </w:r>
      <w:r>
        <w:rPr>
          <w:rFonts w:hint="default" w:ascii="Times New Roman" w:hAnsi="Times New Roman" w:eastAsia="方正仿宋简体" w:cs="Times New Roman"/>
          <w:color w:val="000000" w:themeColor="text1"/>
          <w:sz w:val="32"/>
          <w:szCs w:val="32"/>
          <w14:textFill>
            <w14:solidFill>
              <w14:schemeClr w14:val="tx1"/>
            </w14:solidFill>
          </w14:textFill>
        </w:rPr>
        <w:t>，引入多元新消费业态，植入多元消费场景。新建成“烟火成都”美食集群、“沉浸乡村”主题民宿、“蜀风雅韵”文博艺术、“数字尖端”影视动漫、“时兴社交”文娱潮玩、“感知浪漫”音乐演艺、“浸浴自然”生态畅游、“时尚新潮”社区美游、“亲子互动”研学旅游、“乐活风尚”休闲运动等新业态完成注册并运营一年以上且年营业额达100万元（含）以上的，对村（社区）集体经济组织按照5000元/个的标准予以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2.鼓励村</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（社区）</w:t>
      </w:r>
      <w:r>
        <w:rPr>
          <w:rFonts w:hint="default" w:ascii="Times New Roman" w:hAnsi="Times New Roman" w:eastAsia="方正仿宋简体" w:cs="Times New Roman"/>
          <w:color w:val="000000" w:themeColor="text1"/>
          <w:sz w:val="32"/>
          <w:szCs w:val="32"/>
          <w14:textFill>
            <w14:solidFill>
              <w14:schemeClr w14:val="tx1"/>
            </w14:solidFill>
          </w14:textFill>
        </w:rPr>
        <w:t>集体经济组织</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主动收集盘活</w:t>
      </w:r>
      <w:r>
        <w:rPr>
          <w:rFonts w:hint="default" w:ascii="Times New Roman" w:hAnsi="Times New Roman" w:eastAsia="方正仿宋简体" w:cs="Times New Roman"/>
          <w:color w:val="000000" w:themeColor="text1"/>
          <w:sz w:val="32"/>
          <w:szCs w:val="32"/>
          <w14:textFill>
            <w14:solidFill>
              <w14:schemeClr w14:val="tx1"/>
            </w14:solidFill>
          </w14:textFill>
        </w:rPr>
        <w:t>农村闲置（利用效率低）资源，通过集体经济组织动员农户自愿将房屋流转给集体经济组织打造特色产业林盘的，按照10元/平方米的标准予以村集体经济组织一次性奖励；通过集体经济组织动员农户自愿将林盘或闲置集体建设用地流转给集体经济组织打造特色产业林盘的，按照2000元/亩的标准予以村集体经济组织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（二）支持市场主体依托川西林盘发展壮大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3.鼓励依托川西林盘发展文创旅游、住宿餐饮、电子竞技、体育运动、音乐休闲、康养医疗、商务办公等特色产业。对在川西林盘新入驻的企业，年度综合社会贡献考核（附件1）达到60—70分（不含70分）的给予企业4万元奖励，给予企业所在地的村集体经济组织1万元奖励；年度综合社会贡献考核达到70—80分（不含80分）的给予企业10万元奖励，给予企业所在地的村集体经济组织2万元奖励；年度综合社会贡献考核达到80—100分（不含100分）的给予企业30万元奖励，给予企业所在地的村集体经济组织3万元奖励；年度综合社会贡献考核达到100分的给予企业60万元奖励，给予企业所在地的村集体经济组织6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4.鼓励国内外企业集团在川西林盘中设立总部或区域总部。年度综合贡献考核（附件2）达到60—69分、70—79分、80—89分、90-99分、100分的，分别给予项目业主20万元、40万元、60万元、80万元、100万元奖励。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5.支持品牌首店在川西林盘聚集。支持国际国内知名品牌企业在我区川西林盘内开设首店，对已获商务部门首店奖励的林盘首店，再按商务部门首店奖励金额的30%给予一次性追加奖励。</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6.鼓励林盘经济企业做大做强。对年营业收入首次突破100万元、300万元、500万元、700万元、1000万元、3000万元、5000万元的</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林盘经济入驻</w:t>
      </w:r>
      <w:r>
        <w:rPr>
          <w:rFonts w:hint="default" w:ascii="Times New Roman" w:hAnsi="Times New Roman" w:eastAsia="方正仿宋简体" w:cs="Times New Roman"/>
          <w:color w:val="000000" w:themeColor="text1"/>
          <w:sz w:val="32"/>
          <w:szCs w:val="32"/>
          <w14:textFill>
            <w14:solidFill>
              <w14:schemeClr w14:val="tx1"/>
            </w14:solidFill>
          </w14:textFill>
        </w:rPr>
        <w:t>企业，分别一次性给予1万元、3万元、5万元、7万元、10万元、30万元、50万元奖励。在政策有效期内，单个企业享受每个梯度奖励不超过一次，企业仅可正向享受梯度奖励，不可向下享受梯度奖励，同一年度连续跨越多个梯次的，按最高档次享受</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积极支持企业申请省市奖补。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7.支持林盘内的企业发展壮大后在国内多层次资本市场上市，分阶段给予奖励，在全国中小企业股份转让系统（“新三板”）挂牌融资的给予最高不超过200万元，在沪、深证券交易所上市的给予最高不超过450万元奖励。（如区内企业于2023年以后在国内上市，适用当年最新上市政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（三）支持市场主体与村集体经济组织依托川西林盘合作共营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8.鼓励企业通过村（社区）集体经济组织流转（租赁）林盘内农村闲置资源（农房、林盘、集体建设用地等）打造文创工作室、艺术工作站、演艺中心、科创体验馆、传统手作匠铺、特色劳务品牌基地、民宿康养等，流转（租赁）合同期限5年以上（通过区农村产权交易所交易鉴证）且年营业额达100万元以上的，从流转（租赁）次年起，按实付年租金的40%给予项目业主奖励，连续奖励三年，累计最高60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9.鼓励企业与村（社区）集体经济组织开展股份制合作，打造一批具有休闲观光、文创电商、农事体验、科普教育、民宿康养、科创研发等特色的农商文旅体融合发展项目，集体经济组织以农村闲置资源、固有资产入股等形式参与项目建设，项目投资额达200万元以上。自项目建成运营满1年后，按照集体经济组织当年总分红金额的40%给予项目业主奖励，连续奖励三年，累计最高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（四）支持依托川西林盘创业创新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10.支持返乡人员依托川西林盘创业创新。支持农业科技人员、高校毕业生、退役军人、农民工等返乡创业创新。对返乡人员开展现代农业生产经营项目，创业投资规模在100万元以上且经营1年以上的，经认定，前</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两</w:t>
      </w:r>
      <w:r>
        <w:rPr>
          <w:rFonts w:hint="default" w:ascii="Times New Roman" w:hAnsi="Times New Roman" w:eastAsia="方正仿宋简体" w:cs="Times New Roman"/>
          <w:color w:val="000000" w:themeColor="text1"/>
          <w:sz w:val="32"/>
          <w:szCs w:val="32"/>
          <w14:textFill>
            <w14:solidFill>
              <w14:schemeClr w14:val="tx1"/>
            </w14:solidFill>
          </w14:textFill>
        </w:rPr>
        <w:t>年给予经营主体每年2万元奖励，后</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一</w:t>
      </w:r>
      <w:r>
        <w:rPr>
          <w:rFonts w:hint="default" w:ascii="Times New Roman" w:hAnsi="Times New Roman" w:eastAsia="方正仿宋简体" w:cs="Times New Roman"/>
          <w:color w:val="000000" w:themeColor="text1"/>
          <w:sz w:val="32"/>
          <w:szCs w:val="32"/>
          <w14:textFill>
            <w14:solidFill>
              <w14:schemeClr w14:val="tx1"/>
            </w14:solidFill>
          </w14:textFill>
        </w:rPr>
        <w:t>年给予每年1万元奖励。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11.支持依托川西林盘创新载体建设。对依托川西林盘，新评审为国家、省级重点实验室、工程技术研究中心、产学研联合实验室的企业，对已获区级政策奖励的企业，再按原奖励金额的30%给予一次性追加奖励。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12.鼓励依托川西林盘加强新型乡村人才培育。鼓励在川西林盘通过成立“人才学院”“工匠学院”“农民田间学校”等方式扶持培养一批乡土人才，提升农民职业技能。企业聘用的农业职业经理人、经纪人、乡村工匠、非遗传承人等人才新获得与工作职责相关的国家、省、市级荣誉的，分别给予企业10万元、5万元、2万元一次性奖励。对企业聘用当地群众就业并在企业培养下新获得高级及以上等级职业资格证书的，对企业给予每人2000元的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（五）支持依托川西林盘促进农商文旅体融合发展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13</w:t>
      </w:r>
      <w:r>
        <w:rPr>
          <w:rFonts w:hint="default" w:ascii="Times New Roman" w:hAnsi="Times New Roman" w:eastAsia="方正仿宋简体" w:cs="Times New Roman"/>
          <w:color w:val="000000" w:themeColor="text1"/>
          <w:sz w:val="32"/>
          <w:szCs w:val="32"/>
          <w14:textFill>
            <w14:solidFill>
              <w14:schemeClr w14:val="tx1"/>
            </w14:solidFill>
          </w14:textFill>
        </w:rPr>
        <w:t>.鼓励依托川西林盘景区化景观化发展。新评为AAA级、AA级林盘景区的，在市级奖励基础上分别给予项目业主20万元、10万元一次性奖励。对林盘内旅游民宿新评为国家甲级、国家乙级、国家丙级旅游民宿的，分别给予项目业主20万元、10万元、5万元一次性奖励；对新评为“天府旅游名宿”的精品民宿分别给予项目业主10万元一次性奖励，对新评为成都市金芙蓉级主题旅游客栈、成都市银芙蓉级主题旅游客栈的，分别给予项目业主8万元、3万元一次性奖励。对新评为“新旅游·潮成都”主题旅游目的地等市级及以上荣誉的，对项目业主给予5万元一次性奖励，同一级别不重复享受，不同级别按照最高级别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trike w:val="0"/>
          <w:dstrike w:val="0"/>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14</w:t>
      </w:r>
      <w:r>
        <w:rPr>
          <w:rFonts w:hint="default" w:ascii="Times New Roman" w:hAnsi="Times New Roman" w:eastAsia="方正仿宋简体" w:cs="Times New Roman"/>
          <w:color w:val="000000" w:themeColor="text1"/>
          <w:sz w:val="32"/>
          <w:szCs w:val="32"/>
          <w14:textFill>
            <w14:solidFill>
              <w14:schemeClr w14:val="tx1"/>
            </w14:solidFill>
          </w14:textFill>
        </w:rPr>
        <w:t>.鼓励依托川西林盘举办参加各类农业活动。对在区内林盘内主办或承办省级及以上、市级、区级特色农业节庆活动或“农业+”展会活动的，经认定，分别给予活动主办方或者承办方最高30万元、20万元、15万元的一次性补</w:t>
      </w:r>
      <w:r>
        <w:rPr>
          <w:rFonts w:hint="default" w:ascii="Times New Roman" w:hAnsi="Times New Roman" w:eastAsia="方正仿宋简体" w:cs="Times New Roman"/>
          <w:strike w:val="0"/>
          <w:dstrike w:val="0"/>
          <w:color w:val="000000" w:themeColor="text1"/>
          <w:sz w:val="32"/>
          <w:szCs w:val="32"/>
          <w14:textFill>
            <w14:solidFill>
              <w14:schemeClr w14:val="tx1"/>
            </w14:solidFill>
          </w14:textFill>
        </w:rPr>
        <w:t>助。对参与由本区统一组织的国际性、全国性农业博览会、展销会等推介活动，经认定，按运费和展位费的100%、人员费用的50%，给予最高20万元的补助。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14:textFill>
            <w14:solidFill>
              <w14:schemeClr w14:val="tx1"/>
            </w14:solidFill>
          </w14:textFill>
        </w:rPr>
      </w:pPr>
      <w:r>
        <w:rPr>
          <w:rFonts w:hint="default" w:ascii="方正黑体_GBK" w:hAnsi="方正黑体_GBK" w:eastAsia="方正黑体_GBK" w:cs="方正黑体_GBK"/>
          <w:color w:val="000000" w:themeColor="text1"/>
          <w:sz w:val="32"/>
          <w:szCs w:val="32"/>
          <w14:textFill>
            <w14:solidFill>
              <w14:schemeClr w14:val="tx1"/>
            </w14:solidFill>
          </w14:textFill>
        </w:rPr>
        <w:t>三、附则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（一）</w:t>
      </w:r>
      <w:r>
        <w:rPr>
          <w:rFonts w:hint="default" w:ascii="Times New Roman" w:hAnsi="Times New Roman" w:eastAsia="方正仿宋简体" w:cs="Times New Roman"/>
          <w:color w:val="000000" w:themeColor="text1"/>
          <w:sz w:val="32"/>
          <w:szCs w:val="32"/>
          <w14:textFill>
            <w14:solidFill>
              <w14:schemeClr w14:val="tx1"/>
            </w14:solidFill>
          </w14:textFill>
        </w:rPr>
        <w:t>本政策由区农业农村局负责解释并制定实施细则。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（二）</w:t>
      </w:r>
      <w:r>
        <w:rPr>
          <w:rFonts w:hint="default" w:ascii="Times New Roman" w:hAnsi="Times New Roman" w:eastAsia="方正仿宋简体" w:cs="Times New Roman"/>
          <w:color w:val="000000" w:themeColor="text1"/>
          <w:sz w:val="32"/>
          <w:szCs w:val="32"/>
          <w14:textFill>
            <w14:solidFill>
              <w14:schemeClr w14:val="tx1"/>
            </w14:solidFill>
          </w14:textFill>
        </w:rPr>
        <w:t>本政策自2026年X月X日起施行，有效期至2028年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月30日。成都市新都区人民政府办公室自2023年5月1日施行的《成都市新都区建设林盘经济价值高地推动林盘经济高质量发展扶持政策》（新都府办函〔2023〕29号）同时废止。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（三）</w:t>
      </w:r>
      <w:r>
        <w:rPr>
          <w:rFonts w:hint="default" w:ascii="Times New Roman" w:hAnsi="Times New Roman" w:eastAsia="方正仿宋简体" w:cs="Times New Roman"/>
          <w:color w:val="000000" w:themeColor="text1"/>
          <w:sz w:val="32"/>
          <w:szCs w:val="32"/>
          <w14:textFill>
            <w14:solidFill>
              <w14:schemeClr w14:val="tx1"/>
            </w14:solidFill>
          </w14:textFill>
        </w:rPr>
        <w:t>川西林盘的建设与发展，必须严守耕地红线，坚决遏制耕地“非农化”，防止耕地“非粮化”，规划与实施过程都必须符合国土空间规划、村庄规划及其他相关规划，不得损害国家利益、村集体利益和群众利益，如有违反，不得申报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（四）</w:t>
      </w:r>
      <w:r>
        <w:rPr>
          <w:rFonts w:hint="default" w:ascii="Times New Roman" w:hAnsi="Times New Roman" w:eastAsia="方正仿宋简体" w:cs="Times New Roman"/>
          <w:color w:val="000000" w:themeColor="text1"/>
          <w:sz w:val="32"/>
          <w:szCs w:val="32"/>
          <w14:textFill>
            <w14:solidFill>
              <w14:schemeClr w14:val="tx1"/>
            </w14:solidFill>
          </w14:textFill>
        </w:rPr>
        <w:t>凡申请对象有拖欠员工工资、发生安全事故、违反耕地保护条例、造成环境污染、违法违规等重大负面影响的不得申报。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（五）</w:t>
      </w:r>
      <w:r>
        <w:rPr>
          <w:rFonts w:hint="default" w:ascii="Times New Roman" w:hAnsi="Times New Roman" w:eastAsia="方正仿宋简体" w:cs="Times New Roman"/>
          <w:color w:val="000000" w:themeColor="text1"/>
          <w:sz w:val="32"/>
          <w:szCs w:val="32"/>
          <w14:textFill>
            <w14:solidFill>
              <w14:schemeClr w14:val="tx1"/>
            </w14:solidFill>
          </w14:textFill>
        </w:rPr>
        <w:t>政策扶持期内，若有项目业主调整经营性质不符合条款引导方向或未正常经营的，不继续给予奖励。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（六）</w:t>
      </w:r>
      <w:r>
        <w:rPr>
          <w:rFonts w:hint="default" w:ascii="Times New Roman" w:hAnsi="Times New Roman" w:eastAsia="方正仿宋简体" w:cs="Times New Roman"/>
          <w:color w:val="000000" w:themeColor="text1"/>
          <w:sz w:val="32"/>
          <w:szCs w:val="32"/>
          <w14:textFill>
            <w14:solidFill>
              <w14:schemeClr w14:val="tx1"/>
            </w14:solidFill>
          </w14:textFill>
        </w:rPr>
        <w:t>同一企业涉及多项奖励、补助、补贴等政策的，同一类型政策按“就高不就低、不重复享受”的原则执行。区级其他政策或专项政策与本意见不一致的，由企业自行选择申报。本政策同类条款由协议约定的，按其约定执行。本政策实施过程中，如上级出台新规定，按新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附件：1.新都区林盘经济项目年度综合社会贡献考核表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 xml:space="preserve">      2.新都区川西林盘总部经济项目年度综合贡献考核表</w:t>
      </w:r>
    </w:p>
    <w:p>
      <w:pPr>
        <w:pStyle w:val="2"/>
        <w:rPr>
          <w:rFonts w:hint="default" w:ascii="Times New Roman" w:hAnsi="Times New Roman" w:eastAsia="方正仿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仿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黑体简体" w:cs="Times New Roman"/>
          <w:color w:val="000000" w:themeColor="text1"/>
          <w:sz w:val="32"/>
          <w:szCs w:val="32"/>
          <w:highlight w:val="none"/>
          <w:lang w:eastAsia="zh-CN"/>
          <w14:textFill>
            <w14:solidFill>
              <w14:schemeClr w14:val="tx1"/>
            </w14:solidFill>
          </w14:textFill>
        </w:rPr>
        <w:t>附件</w:t>
      </w:r>
      <w:r>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新都区林盘经济项目年度综合社会贡献考核表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bl>
      <w:tblPr>
        <w:tblStyle w:val="8"/>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625"/>
        <w:gridCol w:w="570"/>
        <w:gridCol w:w="366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考核指标</w:t>
            </w:r>
          </w:p>
        </w:tc>
        <w:tc>
          <w:tcPr>
            <w:tcW w:w="5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分值</w:t>
            </w:r>
          </w:p>
        </w:tc>
        <w:tc>
          <w:tcPr>
            <w:tcW w:w="36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考核标准</w:t>
            </w:r>
          </w:p>
        </w:tc>
        <w:tc>
          <w:tcPr>
            <w:tcW w:w="9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考核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一级指标</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二级指标</w:t>
            </w:r>
          </w:p>
        </w:tc>
        <w:tc>
          <w:tcPr>
            <w:tcW w:w="5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3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产业发展类</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指标</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企业年度销售营业额</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60</w:t>
            </w:r>
          </w:p>
        </w:tc>
        <w:tc>
          <w:tcPr>
            <w:tcW w:w="3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营业额不到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500万不得分，达到500万得20分，超过500万的每超过200万加1分。</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企业同当地集体经济组织联系紧密度</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同集体经济组织没有联系不得分；仅存在租赁关系得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5分，存在分红关系得8分，存在股份合作关系得10分。</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企业聘用当地群众数量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少于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5人不得分，5人得5分，超过5人，每超过2人得1分。</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企业带动当地群众增收情况</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年度带动当地群众增收</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10万元以下不得分，达到10万得5分，超过10万的每超过10万加1分。</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生态环境类指标</w:t>
            </w: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企业环保基础设施示范健全</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3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倒扣分制，缺一样扣一分，扣完为止。</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26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企业内部及周边风貌状况</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3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与林盘整体风貌不融洽得零分，风貌融洽得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有公共休闲场所加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1分，有公共停车场、卫生公厕等公共服务设施加1分，有网红打卡点加2分。</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0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总分</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bl>
    <w:p>
      <w:pPr>
        <w:pStyle w:val="2"/>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pPr>
    </w:p>
    <w:p>
      <w:pPr>
        <w:pStyle w:val="2"/>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方正小标宋简体" w:cs="Times New Roman"/>
          <w:color w:val="000000" w:themeColor="text1"/>
          <w:spacing w:val="-23"/>
          <w:sz w:val="44"/>
          <w:szCs w:val="44"/>
          <w:highlight w:val="none"/>
          <w:lang w:eastAsia="zh-CN"/>
          <w14:textFill>
            <w14:solidFill>
              <w14:schemeClr w14:val="tx1"/>
            </w14:solidFill>
          </w14:textFill>
        </w:rPr>
        <w:t>新都区川西林盘总部经济项目年度综合贡献考核表</w:t>
      </w:r>
    </w:p>
    <w:tbl>
      <w:tblPr>
        <w:tblStyle w:val="8"/>
        <w:tblpPr w:leftFromText="180" w:rightFromText="180" w:vertAnchor="text" w:horzAnchor="page" w:tblpX="1645" w:tblpY="58"/>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214"/>
        <w:gridCol w:w="398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考核指标</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分值</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考核标准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总部性质</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跨国公司地区总部、综合型（区域性）总部企业、功能型总部企业分别得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10、9、8分。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总营业额</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50</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营业额不到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500万不得分，达到500万得10分，超过500万的每超过300万加1分。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总部下属分支机构数量</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少于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2个分支机构不得分；2个及以上的，</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1个</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分支机构得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满分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总部办公人员数量</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总部办公人员数量少于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20人的不得分；等于20人得5分，超过20人的，每超过10人得1分。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总部拥有研究生学历（含）以上或中高级专业技术职称的正式员工</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总部拥有研究生（含）以上或中高级专业技术职称的正式员工数量少于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10人的不得分；等于10人得5分，超过10人的，每超过2人得1分。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总部风貌</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与林盘整体风貌不融洽得零分，风貌融洽得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有公共休闲场所加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1分，有公共停车场、卫生公厕等公共服务设施加1分，有网红打卡点加2分。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企业同当地集体经济组织联系紧密度</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3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同集体经济组织没有联系不得分；仅存在租赁关系得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2分，存在租赁和物业服务、战略合作等其他关系得5分。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总分</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bl>
    <w:p>
      <w:pPr>
        <w:pStyle w:val="2"/>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pPr>
    </w:p>
    <w:p>
      <w:pPr>
        <w:pStyle w:val="3"/>
        <w:ind w:firstLine="255" w:firstLineChars="100"/>
        <w:rPr>
          <w:rFonts w:hint="eastAsia" w:ascii="Times New Roman" w:hAnsi="Times New Roman" w:eastAsia="方正仿宋简体" w:cs="Times New Roman"/>
          <w:color w:val="000000" w:themeColor="text1"/>
          <w:w w:val="58"/>
          <w:highlight w:val="none"/>
          <w:lang w:eastAsia="zh-CN"/>
          <w14:textFill>
            <w14:solidFill>
              <w14:schemeClr w14:val="tx1"/>
            </w14:solidFill>
          </w14:textFill>
        </w:rPr>
      </w:pPr>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小标宋">
    <w:altName w:val="方正小标宋简体"/>
    <w:panose1 w:val="00000000000000000000"/>
    <w:charset w:val="00"/>
    <w:family w:val="script"/>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EE8E6"/>
    <w:rsid w:val="1DB517F5"/>
    <w:rsid w:val="26A32A73"/>
    <w:rsid w:val="2EFEFF92"/>
    <w:rsid w:val="34FD41AC"/>
    <w:rsid w:val="3B574183"/>
    <w:rsid w:val="3EFF6F7E"/>
    <w:rsid w:val="44772ECC"/>
    <w:rsid w:val="458D7140"/>
    <w:rsid w:val="560C0F08"/>
    <w:rsid w:val="57BF278A"/>
    <w:rsid w:val="57BFB855"/>
    <w:rsid w:val="5A6F4608"/>
    <w:rsid w:val="6777B9F9"/>
    <w:rsid w:val="6D0A56FC"/>
    <w:rsid w:val="6FBE2138"/>
    <w:rsid w:val="6FFF56F1"/>
    <w:rsid w:val="75740FD2"/>
    <w:rsid w:val="7FF578E4"/>
    <w:rsid w:val="B7BE5395"/>
    <w:rsid w:val="BFFAA163"/>
    <w:rsid w:val="D2D3EF2E"/>
    <w:rsid w:val="D77EE8E6"/>
    <w:rsid w:val="D9DF5F97"/>
    <w:rsid w:val="DFEFA53A"/>
    <w:rsid w:val="F6FF92E9"/>
    <w:rsid w:val="F8FF0AE5"/>
    <w:rsid w:val="FDE70B95"/>
    <w:rsid w:val="FDF583C4"/>
    <w:rsid w:val="FFBE12C0"/>
    <w:rsid w:val="FFF6A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700" w:lineRule="exact"/>
    </w:pPr>
    <w:rPr>
      <w:rFonts w:ascii="Times New Roman" w:hAnsi="Times New Roman" w:eastAsia="方正小标宋简体" w:cs="Times New Roman"/>
      <w:sz w:val="36"/>
    </w:rPr>
  </w:style>
  <w:style w:type="paragraph" w:styleId="3">
    <w:name w:val="Body Text"/>
    <w:basedOn w:val="1"/>
    <w:next w:val="1"/>
    <w:qFormat/>
    <w:uiPriority w:val="0"/>
    <w:pPr>
      <w:spacing w:line="0" w:lineRule="atLeast"/>
    </w:pPr>
    <w:rPr>
      <w:rFonts w:eastAsia="小标宋"/>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4444</Words>
  <Characters>4685</Characters>
  <Lines>0</Lines>
  <Paragraphs>0</Paragraphs>
  <TotalTime>152</TotalTime>
  <ScaleCrop>false</ScaleCrop>
  <LinksUpToDate>false</LinksUpToDate>
  <CharactersWithSpaces>4698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2025-11-10T23:31:00Z</dcterms:created>
  <dc:creator>huawei</dc:creator>
  <cp:lastModifiedBy>Administrator</cp:lastModifiedBy>
  <cp:lastPrinted>2026-01-28T09:15:00Z</cp:lastPrinted>
  <dcterms:modified xsi:type="dcterms:W3CDTF">2026-01-27T07:43:25Z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5635C65FB236E72A10500C6945394987_43</vt:lpwstr>
  </property>
  <property fmtid="{D5CDD505-2E9C-101B-9397-08002B2CF9AE}" pid="4" name="KSOTemplateDocerSaveRecord">
    <vt:lpwstr>eyJoZGlkIjoiMzdmMmQyMTYzODBjM2Y2M2EzZDgwOTk3ZGMwYzk1ZGEiLCJ1c2VySWQiOiIyMDQ4Nzc0NTIifQ==</vt:lpwstr>
  </property>
</Properties>
</file>