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A2DB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成都市</w:t>
      </w:r>
      <w:r>
        <w:rPr>
          <w:rFonts w:hint="default" w:ascii="Times New Roman" w:hAnsi="Times New Roman" w:eastAsia="方正小标宋_GBK" w:cs="Times New Roman"/>
          <w:sz w:val="44"/>
          <w:szCs w:val="44"/>
        </w:rPr>
        <w:t>锦江</w:t>
      </w:r>
      <w:r>
        <w:rPr>
          <w:rFonts w:hint="eastAsia" w:ascii="Times New Roman" w:hAnsi="Times New Roman" w:eastAsia="方正小标宋_GBK" w:cs="Times New Roman"/>
          <w:sz w:val="44"/>
          <w:szCs w:val="44"/>
          <w:lang w:eastAsia="zh-CN"/>
        </w:rPr>
        <w:t>区关于推动“</w:t>
      </w:r>
      <w:r>
        <w:rPr>
          <w:rFonts w:hint="eastAsia" w:ascii="Times New Roman" w:hAnsi="Times New Roman" w:eastAsia="方正小标宋_GBK" w:cs="Times New Roman"/>
          <w:sz w:val="44"/>
          <w:szCs w:val="44"/>
          <w:lang w:val="en-US" w:eastAsia="zh-CN"/>
        </w:rPr>
        <w:t>1+3+3</w:t>
      </w:r>
      <w:r>
        <w:rPr>
          <w:rFonts w:hint="eastAsia" w:ascii="Times New Roman" w:hAnsi="Times New Roman" w:eastAsia="方正小标宋_GBK" w:cs="Times New Roman"/>
          <w:sz w:val="44"/>
          <w:szCs w:val="44"/>
          <w:lang w:eastAsia="zh-CN"/>
        </w:rPr>
        <w:t>”产业体系高质量发展的若干政策修订方案</w:t>
      </w:r>
    </w:p>
    <w:p w14:paraId="74D6D9CB">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（征求意见稿）</w:t>
      </w:r>
    </w:p>
    <w:p w14:paraId="164E4473">
      <w:pPr>
        <w:snapToGrid w:val="0"/>
        <w:spacing w:line="578" w:lineRule="exact"/>
        <w:jc w:val="center"/>
        <w:rPr>
          <w:rFonts w:hint="eastAsia" w:ascii="方正楷体_GBK" w:hAnsi="方正楷体_GBK" w:eastAsia="方正楷体_GBK" w:cs="方正楷体_GBK"/>
          <w:sz w:val="32"/>
          <w:szCs w:val="32"/>
          <w:lang w:val="en-US" w:eastAsia="zh-CN"/>
        </w:rPr>
      </w:pPr>
    </w:p>
    <w:p w14:paraId="4BFC6784">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根据上级政策文件调整和区域产业发展变化，现对《成都市锦江区关于推动“1+3+3”产业体系高质量发展的若干政策》部分条款修订如下。</w:t>
      </w:r>
    </w:p>
    <w:p w14:paraId="7E267B7E">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对纳入国家统计局研究与试验发展（R&amp;D）投入统计的科技企业，上年度研发费用达200万元但不足1000万元，研发投入强度达10%且较上年正增长，按照其研发投入增长部分的5%最高给予20万元奖励；上年度研发费用达1000万元，研发投入强度达5%且较上年正增长，按照其研发投入增长部分的5%最高给予200万元奖励。</w:t>
      </w:r>
      <w:r>
        <w:rPr>
          <w:rFonts w:hint="eastAsia" w:ascii="Times New Roman" w:hAnsi="Times New Roman" w:eastAsia="方正仿宋_GBK" w:cs="Times New Roman"/>
          <w:sz w:val="32"/>
          <w:szCs w:val="32"/>
          <w:lang w:val="en-US" w:eastAsia="zh-CN"/>
        </w:rPr>
        <w:t>〔牵头单位：区科技局〕</w:t>
      </w:r>
    </w:p>
    <w:p w14:paraId="4BD4FD11">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4.对上一年度认定的高新技术企业，一次性给予10万元奖补。</w:t>
      </w:r>
      <w:r>
        <w:rPr>
          <w:rFonts w:hint="eastAsia" w:ascii="Times New Roman" w:hAnsi="Times New Roman" w:eastAsia="方正仿宋_GBK" w:cs="Times New Roman"/>
          <w:sz w:val="32"/>
          <w:szCs w:val="32"/>
          <w:lang w:val="en-US" w:eastAsia="zh-CN"/>
        </w:rPr>
        <w:t>〔牵头单位：区科技局〕</w:t>
      </w:r>
    </w:p>
    <w:p w14:paraId="536DA94D">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11.支持传统商贸企业数字化转型。在自身经营场地内自建实体直播间、年零售额5亿元以上并实现正增长的企业，按每个直播间2万元的标准给予一次性补贴，同一企业每年最高不超过20万元。商贸企业通过网络实现的年度零售额保持正增长，且首次达到0.5亿元、1亿元、3亿元、5亿元、10亿元的，分别给予5万元、10万元、15万元、20万元、30万元的奖励。</w:t>
      </w:r>
      <w:r>
        <w:rPr>
          <w:rFonts w:hint="eastAsia" w:ascii="Times New Roman" w:hAnsi="Times New Roman" w:eastAsia="方正仿宋_GBK" w:cs="Times New Roman"/>
          <w:sz w:val="32"/>
          <w:szCs w:val="32"/>
          <w:lang w:val="en-US" w:eastAsia="zh-CN"/>
        </w:rPr>
        <w:t>〔牵头单位：区商务局〕</w:t>
      </w:r>
    </w:p>
    <w:p w14:paraId="740F9A2A">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12.支持直播电商发展。对年零售额达到5000万元的直播电商企业，给予10万元奖励，之后，零售额每增加5000万元，再给予10万元奖励，最高不超过200万元；对获评国家级、省级、市级电商示范企业的，分别给予50万元、30万元、20万元一次性奖励。</w:t>
      </w:r>
      <w:r>
        <w:rPr>
          <w:rFonts w:hint="eastAsia" w:ascii="Times New Roman" w:hAnsi="Times New Roman" w:eastAsia="方正仿宋_GBK" w:cs="Times New Roman"/>
          <w:sz w:val="32"/>
          <w:szCs w:val="32"/>
          <w:lang w:val="en-US" w:eastAsia="zh-CN"/>
        </w:rPr>
        <w:t>〔牵头单位：区商务局〕</w:t>
      </w:r>
    </w:p>
    <w:p w14:paraId="04ABA66B">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13（2）.支持存量企业发展。对年零售额增速达到全区社消零总额增速的商贸企业，年零售额规模达到2亿元、5亿元的，分别给予5万元、10万元的奖励；超过5亿元部分，按每增加5亿元，给予10万元奖励。</w:t>
      </w:r>
      <w:r>
        <w:rPr>
          <w:rFonts w:hint="eastAsia" w:ascii="Times New Roman" w:hAnsi="Times New Roman" w:eastAsia="方正仿宋_GBK" w:cs="Times New Roman"/>
          <w:sz w:val="32"/>
          <w:szCs w:val="32"/>
          <w:lang w:val="en-US" w:eastAsia="zh-CN"/>
        </w:rPr>
        <w:t>〔牵头单位：区商务局〕</w:t>
      </w:r>
    </w:p>
    <w:p w14:paraId="03109ADC">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14.支持批发企业扩大销售。对年销售额增速达到全区批发业销售额增速的批发企业，年销售额达到5亿元、10亿元、20亿元、50亿元、100亿元、150亿元、200亿元的，分别给予5万元、10万元、20万元、40万元、60万元、80万元、100万元的奖励。</w:t>
      </w:r>
      <w:r>
        <w:rPr>
          <w:rFonts w:hint="eastAsia" w:ascii="Times New Roman" w:hAnsi="Times New Roman" w:eastAsia="方正仿宋_GBK" w:cs="Times New Roman"/>
          <w:sz w:val="32"/>
          <w:szCs w:val="32"/>
          <w:lang w:val="en-US" w:eastAsia="zh-CN"/>
        </w:rPr>
        <w:t>〔牵头单位：区商务局〕</w:t>
      </w:r>
    </w:p>
    <w:p w14:paraId="243677F5">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15.支持连锁企业拓展门店。对年零售额实现正增长的连锁商贸企业，每新开设一家10000平方米（含）以上、5000平方米（含）以上、1000平方米（含）以上、500平方米（含）以上、100平方米（含）以上、不足100平方米的商业经营场所，分别给予40万元、30万元、20万元、10万元、5万元、2万元的奖励，单个企业每年奖励总额最高不超过300万元（其中单个开店面积均在1000平方米以下的，单个企业奖励总额最高不超过200万元）。</w:t>
      </w:r>
      <w:r>
        <w:rPr>
          <w:rFonts w:hint="eastAsia" w:ascii="Times New Roman" w:hAnsi="Times New Roman" w:eastAsia="方正仿宋_GBK" w:cs="Times New Roman"/>
          <w:sz w:val="32"/>
          <w:szCs w:val="32"/>
          <w:lang w:val="en-US" w:eastAsia="zh-CN"/>
        </w:rPr>
        <w:t>〔牵头单位：区商务局〕</w:t>
      </w:r>
    </w:p>
    <w:p w14:paraId="71862AC0">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18（1）.支持外贸企业聚集发展。按照年度经营状况、进出口额增长情况、企业合规情况等进行综合考评，按照综合考评结果，给予最高不超过500万元的一次性奖励。</w:t>
      </w:r>
      <w:r>
        <w:rPr>
          <w:rFonts w:hint="eastAsia" w:ascii="Times New Roman" w:hAnsi="Times New Roman" w:eastAsia="方正仿宋_GBK" w:cs="Times New Roman"/>
          <w:sz w:val="32"/>
          <w:szCs w:val="32"/>
          <w:lang w:val="en-US" w:eastAsia="zh-CN"/>
        </w:rPr>
        <w:t>〔牵头单位：区商务局〕</w:t>
      </w:r>
    </w:p>
    <w:p w14:paraId="07CCB3D9">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支持消费新场景打造。对在锦江区打造沉浸式、体验式、策展式等消费新场景的法人企业，对投入费用在500万元以上的，三年内按照投入金额的10%给予一次性奖励，最高不超过200万元。对获评国家级、省级、市级消费示范场景的，分别给予50万元、20万元、5万元一次性奖励。对在春熙路商圈、锦东商圈等重点商圈举办促消费活动的商贸企业，给予场地支持。</w:t>
      </w:r>
      <w:r>
        <w:rPr>
          <w:rFonts w:hint="eastAsia" w:ascii="Times New Roman" w:hAnsi="Times New Roman" w:eastAsia="方正仿宋_GBK" w:cs="Times New Roman"/>
          <w:sz w:val="32"/>
          <w:szCs w:val="32"/>
          <w:lang w:val="en-US" w:eastAsia="zh-CN"/>
        </w:rPr>
        <w:t>〔牵头单位：区商务局〕</w:t>
      </w:r>
    </w:p>
    <w:p w14:paraId="74114D68">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21.支持持牌金融总部（含外资金融机构全国总部）入驻。对新引进的银行、保险、证券、期货、信托、公募基金、征信等持牌法人金融机构，实缴资本达1亿元的，给予300万元奖励，实缴资本每增加1亿元，增加100万元奖励，最高不超过4000万元；对新引进的保险中介法人机构，实缴资本达5000万元的，给予100万元奖励，实缴资本每增加5000万元，增加50万元奖励，分三年给予企业最高不超过2000万元。〔牵头单位：区财政局〕</w:t>
      </w:r>
    </w:p>
    <w:p w14:paraId="4DAC9852">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22.支持地方金融法人机构入驻。对新引进的地方金融机构，实缴注册资本达1亿元的，给予200万元奖励，实缴资本每增加1亿元，增加100万元奖励，分三年给予企业最高不超过2000万元奖励。〔牵头单位：区财政局〕</w:t>
      </w:r>
    </w:p>
    <w:p w14:paraId="2E996A3A">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23.加快发展私募基金业。</w:t>
      </w:r>
    </w:p>
    <w:p w14:paraId="10519EF4">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（1）对新设立的私募股权投资基金管理人，实缴资本2000万元以上的，按照实缴资本的1.5%给予一次性奖励，最高不超过500万元。</w:t>
      </w:r>
      <w:r>
        <w:rPr>
          <w:rFonts w:hint="default" w:ascii="Times New Roman" w:hAnsi="Times New Roman" w:eastAsia="方正仿宋_GBK" w:cs="Times New Roman"/>
          <w:sz w:val="32"/>
          <w:szCs w:val="32"/>
          <w:lang w:val="en-US" w:eastAsia="zh-CN"/>
        </w:rPr>
        <w:t>〔牵头单位：区财政局〕</w:t>
      </w:r>
    </w:p>
    <w:p w14:paraId="282A1907">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对产业基金，参照主管部门批准总规模，结合每年实际到位资金情况给予奖励。在50亿元以下的，按照实际到位资金0.25‰给予奖励；在50亿元（含）至100亿元，按照实际到位资金0.5‰给予奖励；规模在100亿元（含）至200亿元，按照实际到位资金0.75‰给予奖励；在200亿元（含）以上，按照实际到位资金1.5‰给与奖励，奖励最高不超过5000万元。</w:t>
      </w:r>
      <w:r>
        <w:rPr>
          <w:rFonts w:hint="default" w:ascii="Times New Roman" w:hAnsi="Times New Roman" w:eastAsia="方正仿宋_GBK" w:cs="Times New Roman"/>
          <w:sz w:val="32"/>
          <w:szCs w:val="32"/>
          <w:lang w:val="en-US" w:eastAsia="zh-CN"/>
        </w:rPr>
        <w:t>〔牵头单位：区财政局〕</w:t>
      </w:r>
    </w:p>
    <w:p w14:paraId="655FA97B">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对私募基金管理人，年管理费首次达1000万以上的，按照管理费的2%给予奖励；年管理费首次达2000万以上的，按照管理费的2.5%给予奖励；年管理费首次达4000万以上的，按照管理费的3%给予奖励。每家机构累计不超过150万元奖励。〔牵头单位：区财政局〕</w:t>
      </w:r>
    </w:p>
    <w:p w14:paraId="18467B87">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24.支持高能级机构入驻。对新引入（含新设、存量机构升级）的独立核算的银行、保险、证券、期货、公募基金等持牌金融机构省市级分支机构及其结算性总部企业，给予最高300万元奖励。〔牵头单位：区财政局〕</w:t>
      </w:r>
    </w:p>
    <w:p w14:paraId="1BF391AF">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26.鼓励存量金融机构发展壮大</w:t>
      </w:r>
    </w:p>
    <w:p w14:paraId="3654FD05">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（1）鼓励新增注册资本金。对区内现有金融机构新增注册资本金且为实缴货币资金的，增资达1亿元以上的，按照增资部分的2‰给予奖励，最高不超过200万元。〔牵头单位：区财政局〕</w:t>
      </w:r>
    </w:p>
    <w:p w14:paraId="3280EC77">
      <w:pPr>
        <w:keepNext w:val="0"/>
        <w:keepLines w:val="0"/>
        <w:pageBreakBefore w:val="0"/>
        <w:widowControl w:val="0"/>
        <w:kinsoku/>
        <w:wordWrap/>
        <w:overflowPunct/>
        <w:topLinePunct w:val="0"/>
        <w:autoSpaceDE/>
        <w:autoSpaceDN/>
        <w:bidi w:val="0"/>
        <w:adjustRightInd/>
        <w:snapToGrid w:val="0"/>
        <w:spacing w:line="578"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鼓励存量企业做大做强。存量扶持对象年度营业收入首次达3亿元、5亿元、10亿元、15亿元且较上年度增幅10%以上的，分别给予5万元、10万元、20万元、40万元一次性奖励；年度营业收入首次达15亿元且年度增长为正但增幅小于10%的，给予30万元一次性奖励。〔牵头单位：区财政局〕</w:t>
      </w:r>
    </w:p>
    <w:p w14:paraId="48F68D90">
      <w:pPr>
        <w:pStyle w:val="2"/>
        <w:keepNext w:val="0"/>
        <w:keepLines w:val="0"/>
        <w:pageBreakBefore w:val="0"/>
        <w:widowControl w:val="0"/>
        <w:kinsoku/>
        <w:wordWrap/>
        <w:overflowPunct/>
        <w:topLinePunct w:val="0"/>
        <w:autoSpaceDE/>
        <w:autoSpaceDN/>
        <w:bidi w:val="0"/>
        <w:adjustRightInd w:val="0"/>
        <w:snapToGrid w:val="0"/>
        <w:spacing w:before="0" w:after="0" w:line="578" w:lineRule="exact"/>
        <w:ind w:firstLine="482"/>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32.支持中小企业上榜晋级。对本年度首次认定为升级“专精特新”企业的给予10万元一次性奖励；首次实现上榜国家级专精特新“小巨人”企业、国家制造业单项冠军示范企业（产品）的，分别给予每家企业30万元、40万元的一次性奖励。对复审通过且未享受过区级奖励四川省“专精特新”、国家专精特新“小巨人”企业、国家制造业单项冠军示范企业（产品），分别给予5万元、15万元、20万元的一次性奖励。</w:t>
      </w:r>
      <w:r>
        <w:rPr>
          <w:rFonts w:hint="default" w:ascii="Times New Roman" w:hAnsi="Times New Roman" w:eastAsia="方正仿宋_GBK" w:cs="Times New Roman"/>
          <w:sz w:val="32"/>
          <w:szCs w:val="32"/>
          <w:lang w:val="en-US" w:eastAsia="zh-CN"/>
        </w:rPr>
        <w:t>〔牵头单位：区</w:t>
      </w:r>
      <w:r>
        <w:rPr>
          <w:rFonts w:hint="eastAsia" w:ascii="Times New Roman" w:hAnsi="Times New Roman" w:eastAsia="方正仿宋_GBK" w:cs="Times New Roman"/>
          <w:sz w:val="32"/>
          <w:szCs w:val="32"/>
          <w:lang w:val="en-US" w:eastAsia="zh-CN"/>
        </w:rPr>
        <w:t>经信</w:t>
      </w:r>
      <w:r>
        <w:rPr>
          <w:rFonts w:hint="default" w:ascii="Times New Roman" w:hAnsi="Times New Roman" w:eastAsia="方正仿宋_GBK" w:cs="Times New Roman"/>
          <w:sz w:val="32"/>
          <w:szCs w:val="32"/>
          <w:lang w:val="en-US" w:eastAsia="zh-CN"/>
        </w:rPr>
        <w:t>局〕</w:t>
      </w:r>
    </w:p>
    <w:p w14:paraId="69E5D7EE">
      <w:pPr>
        <w:pStyle w:val="2"/>
        <w:keepNext w:val="0"/>
        <w:keepLines w:val="0"/>
        <w:pageBreakBefore w:val="0"/>
        <w:widowControl w:val="0"/>
        <w:kinsoku/>
        <w:wordWrap/>
        <w:overflowPunct/>
        <w:topLinePunct w:val="0"/>
        <w:autoSpaceDE/>
        <w:autoSpaceDN/>
        <w:bidi w:val="0"/>
        <w:adjustRightInd w:val="0"/>
        <w:snapToGrid w:val="0"/>
        <w:spacing w:before="0" w:after="0" w:line="578" w:lineRule="exact"/>
        <w:ind w:firstLine="482"/>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kern w:val="2"/>
          <w:sz w:val="32"/>
          <w:szCs w:val="32"/>
          <w:lang w:val="en-US" w:eastAsia="zh-CN" w:bidi="ar-SA"/>
        </w:rPr>
        <w:t>38.支持互联网、软件和信息技术服务业加快发展。对年营收达2000万元以上的互联网、软件和信息技术服务业企业，当年营业收入增速达到10%、30%、50%的，分别给予5万元、10万元、20万元一次性奖励。</w:t>
      </w:r>
      <w:r>
        <w:rPr>
          <w:rFonts w:hint="default" w:ascii="Times New Roman" w:hAnsi="Times New Roman" w:eastAsia="方正仿宋_GBK" w:cs="Times New Roman"/>
          <w:sz w:val="32"/>
          <w:szCs w:val="32"/>
          <w:lang w:val="en-US" w:eastAsia="zh-CN"/>
        </w:rPr>
        <w:t>〔牵头单位：区</w:t>
      </w:r>
      <w:r>
        <w:rPr>
          <w:rFonts w:hint="eastAsia" w:ascii="Times New Roman" w:hAnsi="Times New Roman" w:eastAsia="方正仿宋_GBK" w:cs="Times New Roman"/>
          <w:sz w:val="32"/>
          <w:szCs w:val="32"/>
          <w:lang w:val="en-US" w:eastAsia="zh-CN"/>
        </w:rPr>
        <w:t>经信</w:t>
      </w:r>
      <w:r>
        <w:rPr>
          <w:rFonts w:hint="default" w:ascii="Times New Roman" w:hAnsi="Times New Roman" w:eastAsia="方正仿宋_GBK" w:cs="Times New Roman"/>
          <w:sz w:val="32"/>
          <w:szCs w:val="32"/>
          <w:lang w:val="en-US" w:eastAsia="zh-CN"/>
        </w:rPr>
        <w:t>局〕</w:t>
      </w:r>
    </w:p>
    <w:p w14:paraId="7D2B88BD">
      <w:pPr>
        <w:pStyle w:val="2"/>
        <w:keepNext w:val="0"/>
        <w:keepLines w:val="0"/>
        <w:pageBreakBefore w:val="0"/>
        <w:widowControl w:val="0"/>
        <w:kinsoku/>
        <w:wordWrap/>
        <w:overflowPunct/>
        <w:topLinePunct w:val="0"/>
        <w:autoSpaceDE/>
        <w:autoSpaceDN/>
        <w:bidi w:val="0"/>
        <w:adjustRightInd w:val="0"/>
        <w:snapToGrid w:val="0"/>
        <w:spacing w:before="0" w:after="0" w:line="578" w:lineRule="exact"/>
        <w:ind w:firstLine="482"/>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42.支持旅游住宿业发展。单个自然年内接待旅游团队并过夜的游客数达到500人次的旅行社，按照每人15元/天的标准进行奖励。〔牵头单位：区文体旅局〕</w:t>
      </w:r>
    </w:p>
    <w:p w14:paraId="6A8F7768">
      <w:pPr>
        <w:pStyle w:val="2"/>
        <w:keepNext w:val="0"/>
        <w:keepLines w:val="0"/>
        <w:pageBreakBefore w:val="0"/>
        <w:widowControl w:val="0"/>
        <w:kinsoku/>
        <w:wordWrap/>
        <w:overflowPunct/>
        <w:topLinePunct w:val="0"/>
        <w:autoSpaceDE/>
        <w:autoSpaceDN/>
        <w:bidi w:val="0"/>
        <w:adjustRightInd w:val="0"/>
        <w:snapToGrid w:val="0"/>
        <w:spacing w:before="0" w:after="0" w:line="578" w:lineRule="exact"/>
        <w:ind w:firstLine="482"/>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44.支持住宿业企业承接会议。住宿企业承接大型会议，在单个自然年内，承接单场营业额在10万元以上（以会议发票为准）的会议数量达30场（含）的，给予10万元一次性奖励，会议场次每增加1场（含），再增加奖励0.5万元，单个酒店年度最高不超过50万元。〔牵头单位：区文体旅局〕</w:t>
      </w:r>
    </w:p>
    <w:p w14:paraId="1DA7699A">
      <w:pPr>
        <w:pStyle w:val="2"/>
        <w:keepNext w:val="0"/>
        <w:keepLines w:val="0"/>
        <w:pageBreakBefore w:val="0"/>
        <w:widowControl w:val="0"/>
        <w:kinsoku/>
        <w:wordWrap/>
        <w:overflowPunct/>
        <w:topLinePunct w:val="0"/>
        <w:autoSpaceDE/>
        <w:autoSpaceDN/>
        <w:bidi w:val="0"/>
        <w:adjustRightInd w:val="0"/>
        <w:snapToGrid w:val="0"/>
        <w:spacing w:before="0" w:after="0" w:line="578" w:lineRule="exact"/>
        <w:ind w:firstLine="482"/>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47.支持文旅企业做大做强。住宿业企业当年营业额增速高于全区住宿业增速10个百分点（含）、15个百分点（含）、20个百分点（含）且营业额超过3000万元（含）的，分别给予5万元、8万元、10万元一次性奖励；文化体育和娱乐业企业当年营业收入增速高于全区文化体育和娱乐业增速10个百分点（含）、15个百分点（含）、20个百分点（含）且营业额超过3000万元（含）的，分别给予5万元、8万元、10万元一次性奖励；旅行社企业当年营业收入增速高于全区租赁和商务服务业增速且营业收入达到0.5亿元（含）、1亿元（含）、2亿元（含）以上的，分别给予5万元、8万元、10万元一次性奖励。〔牵头单位：区文体旅局〕</w:t>
      </w:r>
    </w:p>
    <w:p w14:paraId="55368473">
      <w:pPr>
        <w:pStyle w:val="2"/>
        <w:keepNext w:val="0"/>
        <w:keepLines w:val="0"/>
        <w:pageBreakBefore w:val="0"/>
        <w:widowControl w:val="0"/>
        <w:kinsoku/>
        <w:wordWrap/>
        <w:overflowPunct/>
        <w:topLinePunct w:val="0"/>
        <w:autoSpaceDE/>
        <w:autoSpaceDN/>
        <w:bidi w:val="0"/>
        <w:adjustRightInd w:val="0"/>
        <w:snapToGrid w:val="0"/>
        <w:spacing w:before="0" w:after="0" w:line="578" w:lineRule="exact"/>
        <w:ind w:firstLine="482"/>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54（4）.支持拟上市企业发展壮大。对区内拟上市企业开展并购重组的，并购交易额超过1亿元的，在完成股改后，按照并购重组额的5‰给予一次性补贴，单家企业最高不超过200万元。〔牵头单位：区财政局〕</w:t>
      </w:r>
      <w:bookmarkStart w:id="0" w:name="_GoBack"/>
      <w:bookmarkEnd w:id="0"/>
    </w:p>
    <w:p w14:paraId="19099854">
      <w:pPr>
        <w:pStyle w:val="2"/>
        <w:keepNext w:val="0"/>
        <w:keepLines w:val="0"/>
        <w:pageBreakBefore w:val="0"/>
        <w:widowControl w:val="0"/>
        <w:kinsoku/>
        <w:wordWrap/>
        <w:overflowPunct/>
        <w:topLinePunct w:val="0"/>
        <w:autoSpaceDE/>
        <w:autoSpaceDN/>
        <w:bidi w:val="0"/>
        <w:adjustRightInd w:val="0"/>
        <w:snapToGrid w:val="0"/>
        <w:spacing w:before="0" w:after="0" w:line="578" w:lineRule="exact"/>
        <w:ind w:firstLine="482"/>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57.支持企业获得政策性信贷融资。对首次获得“锦易贷”贷款的企业，按照贷款当期LPR的30%给予贷款利息补贴，单个企业贴息额不超过10万元。〔牵头单位：区财政局〕</w:t>
      </w:r>
    </w:p>
    <w:p w14:paraId="54F9FB51">
      <w:pPr>
        <w:pStyle w:val="2"/>
        <w:keepNext w:val="0"/>
        <w:keepLines w:val="0"/>
        <w:pageBreakBefore w:val="0"/>
        <w:widowControl w:val="0"/>
        <w:kinsoku/>
        <w:wordWrap/>
        <w:overflowPunct/>
        <w:topLinePunct w:val="0"/>
        <w:autoSpaceDE/>
        <w:autoSpaceDN/>
        <w:bidi w:val="0"/>
        <w:adjustRightInd w:val="0"/>
        <w:snapToGrid w:val="0"/>
        <w:spacing w:before="0" w:after="0" w:line="578" w:lineRule="exact"/>
        <w:ind w:firstLine="482"/>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附则（一）本政策支持对象为在成都市锦江区依法经营、信用良好且近三年无重大安全、环保事故的市场经营者，申请项目原则上应在本区范围内实施。</w:t>
      </w:r>
    </w:p>
    <w:p w14:paraId="61860C30">
      <w:pPr>
        <w:pStyle w:val="2"/>
        <w:keepNext w:val="0"/>
        <w:keepLines w:val="0"/>
        <w:pageBreakBefore w:val="0"/>
        <w:widowControl w:val="0"/>
        <w:kinsoku/>
        <w:wordWrap/>
        <w:overflowPunct/>
        <w:topLinePunct w:val="0"/>
        <w:autoSpaceDE/>
        <w:autoSpaceDN/>
        <w:bidi w:val="0"/>
        <w:adjustRightInd w:val="0"/>
        <w:snapToGrid w:val="0"/>
        <w:spacing w:before="0" w:after="0" w:line="578" w:lineRule="exact"/>
        <w:ind w:firstLine="482"/>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原25、33、35、36、54（3）、56、58、60条停止执行。</w:t>
      </w:r>
    </w:p>
    <w:p w14:paraId="1B084EB7">
      <w:pPr>
        <w:pStyle w:val="2"/>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72010B"/>
    <w:rsid w:val="1D72010B"/>
    <w:rsid w:val="20672C08"/>
    <w:rsid w:val="2AFB6893"/>
    <w:rsid w:val="33BD3211"/>
    <w:rsid w:val="374C50B7"/>
    <w:rsid w:val="71446BBB"/>
    <w:rsid w:val="79404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napToGrid w:val="0"/>
      <w:spacing w:before="60" w:after="60" w:line="440" w:lineRule="atLeast"/>
      <w:ind w:firstLine="480"/>
    </w:pPr>
    <w:rPr>
      <w:rFonts w:eastAsia="宋体" w:cs="Times New Roman"/>
    </w:r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6">
    <w:name w:val="正文（锦江1）"/>
    <w:basedOn w:val="1"/>
    <w:qFormat/>
    <w:uiPriority w:val="0"/>
    <w:pPr>
      <w:pBdr>
        <w:top w:val="none" w:color="auto" w:sz="0" w:space="0"/>
        <w:left w:val="none" w:color="auto" w:sz="0" w:space="0"/>
        <w:bottom w:val="none" w:color="auto" w:sz="0" w:space="0"/>
        <w:right w:val="none" w:color="auto" w:sz="0" w:space="0"/>
      </w:pBdr>
      <w:spacing w:line="578" w:lineRule="exact"/>
      <w:ind w:firstLine="640" w:firstLineChars="200"/>
    </w:pPr>
    <w:rPr>
      <w:rFonts w:hint="eastAsia" w:ascii="Times New Roman" w:hAnsi="Times New Roman" w:eastAsia="方正仿宋_GBK" w:cs="Times New Roman"/>
      <w:sz w:val="32"/>
      <w:szCs w:val="32"/>
    </w:rPr>
  </w:style>
  <w:style w:type="paragraph" w:customStyle="1" w:styleId="7">
    <w:name w:val="标题（锦江1）"/>
    <w:basedOn w:val="3"/>
    <w:next w:val="6"/>
    <w:qFormat/>
    <w:uiPriority w:val="0"/>
    <w:pPr>
      <w:pBdr>
        <w:top w:val="none" w:color="auto" w:sz="0" w:space="0"/>
        <w:left w:val="none" w:color="auto" w:sz="0" w:space="0"/>
        <w:bottom w:val="none" w:color="auto" w:sz="0" w:space="0"/>
        <w:right w:val="none" w:color="auto" w:sz="0" w:space="0"/>
      </w:pBdr>
      <w:spacing w:line="700" w:lineRule="exact"/>
    </w:pPr>
    <w:rPr>
      <w:rFonts w:ascii="Times New Roman" w:hAnsi="Times New Roman" w:eastAsia="方正小标宋简体" w:cs="Times New Roman"/>
      <w:sz w:val="44"/>
      <w:szCs w:val="44"/>
    </w:rPr>
  </w:style>
  <w:style w:type="character" w:customStyle="1" w:styleId="8">
    <w:name w:val="font31"/>
    <w:basedOn w:val="5"/>
    <w:qFormat/>
    <w:uiPriority w:val="0"/>
    <w:rPr>
      <w:rFonts w:ascii="Calibri" w:hAnsi="Calibri" w:cs="Calibri"/>
      <w:color w:val="1F2329"/>
      <w:sz w:val="15"/>
      <w:szCs w:val="15"/>
      <w:u w:val="none"/>
    </w:rPr>
  </w:style>
  <w:style w:type="paragraph" w:styleId="9">
    <w:name w:val="List Paragraph"/>
    <w:basedOn w:val="1"/>
    <w:autoRedefine/>
    <w:qFormat/>
    <w:uiPriority w:val="99"/>
    <w:pPr>
      <w:adjustRightInd w:val="0"/>
      <w:snapToGrid w:val="0"/>
      <w:spacing w:line="578" w:lineRule="exact"/>
      <w:ind w:firstLine="640"/>
    </w:pPr>
    <w:rPr>
      <w:rFonts w:eastAsia="方正仿宋_GBK" w:cs="Times New Roman"/>
      <w:szCs w:val="32"/>
    </w:rPr>
  </w:style>
  <w:style w:type="character" w:customStyle="1" w:styleId="10">
    <w:name w:val="font41"/>
    <w:basedOn w:val="5"/>
    <w:qFormat/>
    <w:uiPriority w:val="0"/>
    <w:rPr>
      <w:rFonts w:hint="default" w:ascii="Calibri" w:hAnsi="Calibri" w:cs="Calibri"/>
      <w:b/>
      <w:bCs/>
      <w:color w:val="1F2329"/>
      <w:sz w:val="15"/>
      <w:szCs w:val="15"/>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2025-11-19T01:54:00Z</dcterms:created>
  <dc:creator>李骏倬</dc:creator>
  <cp:lastModifiedBy>李骏倬</cp:lastModifiedBy>
  <dcterms:modified xsi:type="dcterms:W3CDTF">2025-11-19T02:35:01Z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F3E4AACDFFE24B709F73AD4782580704_11</vt:lpwstr>
  </property>
  <property fmtid="{D5CDD505-2E9C-101B-9397-08002B2CF9AE}" pid="4" name="KSOTemplateDocerSaveRecord">
    <vt:lpwstr>eyJoZGlkIjoiYjg4NDA4NTJmNGEzNjA5YmFhMDYyMjNhY2I3ZmM3YWUiLCJ1c2VySWQiOiIxNTkwNTE5OTYzIn0=</vt:lpwstr>
  </property>
</Properties>
</file>