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</w:t>
      </w:r>
    </w:p>
    <w:p>
      <w:pPr>
        <w:jc w:val="center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通过专家评审企业情况表</w:t>
      </w:r>
    </w:p>
    <w:bookmarkEnd w:id="0"/>
    <w:tbl>
      <w:tblPr>
        <w:tblStyle w:val="3"/>
        <w:tblpPr w:leftFromText="180" w:rightFromText="180" w:vertAnchor="text" w:horzAnchor="page" w:tblpX="1830" w:tblpY="631"/>
        <w:tblOverlap w:val="never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36"/>
        <w:gridCol w:w="1010"/>
        <w:gridCol w:w="2042"/>
        <w:gridCol w:w="1884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车型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2025年二、三季度产量（辆）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2025年二、三季度销量（辆）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销量较前两年同期销量平均值增长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一汽丰田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汽车（成都）有限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燃油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乘用车和商用车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77380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73854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一汽解放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汽车有限公司四川分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燃油重型车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9403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4838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宜宾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凯翼汽车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燃油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乘用车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27433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20174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2178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F1266"/>
    <w:rsid w:val="5ECA3B20"/>
    <w:rsid w:val="967E8867"/>
    <w:rsid w:val="FFD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2025-10-30T08:19:00Z</dcterms:created>
  <dc:creator>46657</dc:creator>
  <cp:lastModifiedBy>yuanmeng</cp:lastModifiedBy>
  <cp:lastPrinted>2025-10-31T18:02:09Z</cp:lastPrinted>
  <dcterms:modified xsi:type="dcterms:W3CDTF">2025-10-31T18:03:54Z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eyJoZGlkIjoiMWEyODFlZmFiMmYyYWEwMGMwOGQzNzNiZTI4YWE0ZmIiLCJ1c2VySWQiOiIzMTE4MDUyODIifQ==</vt:lpwstr>
  </property>
  <property fmtid="{D5CDD505-2E9C-101B-9397-08002B2CF9AE}" pid="4" name="ICV">
    <vt:lpwstr>41B444229EFD4A63999F1F60CB2BD772_12</vt:lpwstr>
  </property>
</Properties>
</file>