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FC8A9">
      <w:pPr>
        <w:adjustRightInd/>
        <w:snapToGrid/>
        <w:spacing w:line="560" w:lineRule="exact"/>
        <w:ind w:left="0" w:leftChars="0" w:firstLine="0" w:firstLineChars="0"/>
        <w:jc w:val="left"/>
        <w:rPr>
          <w:rFonts w:hint="eastAsia" w:eastAsia="方正黑体简体"/>
          <w:bCs/>
          <w:color w:val="000000"/>
          <w:kern w:val="0"/>
          <w:sz w:val="32"/>
          <w:szCs w:val="24"/>
          <w:lang w:val="en-US" w:eastAsia="zh-CN" w:bidi="ar"/>
        </w:rPr>
      </w:pPr>
      <w:r>
        <w:rPr>
          <w:rFonts w:hint="eastAsia" w:eastAsia="方正黑体简体"/>
          <w:bCs/>
          <w:color w:val="000000"/>
          <w:kern w:val="0"/>
          <w:sz w:val="32"/>
          <w:szCs w:val="24"/>
          <w:lang w:val="en-US" w:eastAsia="zh-CN" w:bidi="ar"/>
        </w:rPr>
        <w:t>附件1</w:t>
      </w:r>
    </w:p>
    <w:p w14:paraId="47923A51">
      <w:pPr>
        <w:adjustRightInd/>
        <w:snapToGrid/>
        <w:spacing w:line="560" w:lineRule="exact"/>
        <w:ind w:left="0" w:leftChars="0" w:firstLine="0" w:firstLineChars="0"/>
        <w:jc w:val="left"/>
        <w:rPr>
          <w:rFonts w:hint="default" w:eastAsia="方正黑体简体"/>
          <w:bCs/>
          <w:color w:val="000000"/>
          <w:kern w:val="0"/>
          <w:sz w:val="36"/>
          <w:szCs w:val="28"/>
          <w:lang w:val="en-US" w:eastAsia="zh-CN" w:bidi="ar"/>
        </w:rPr>
      </w:pPr>
    </w:p>
    <w:p w14:paraId="2700AFF1">
      <w:pPr>
        <w:keepNext w:val="0"/>
        <w:keepLines w:val="0"/>
        <w:pageBreakBefore w:val="0"/>
        <w:widowControl w:val="0"/>
        <w:kinsoku/>
        <w:wordWrap/>
        <w:overflowPunct/>
        <w:topLinePunct w:val="0"/>
        <w:autoSpaceDE/>
        <w:autoSpaceDN/>
        <w:bidi w:val="0"/>
        <w:adjustRightInd w:val="0"/>
        <w:snapToGrid w:val="0"/>
        <w:spacing w:line="600" w:lineRule="exact"/>
        <w:ind w:firstLine="880"/>
        <w:jc w:val="center"/>
        <w:textAlignment w:val="auto"/>
        <w:rPr>
          <w:rFonts w:eastAsia="方正小标宋简体"/>
          <w:sz w:val="44"/>
          <w:szCs w:val="44"/>
        </w:rPr>
      </w:pPr>
      <w:r>
        <w:rPr>
          <w:rFonts w:eastAsia="方正小标宋简体"/>
          <w:sz w:val="44"/>
          <w:szCs w:val="44"/>
        </w:rPr>
        <w:t>成都市支持“5G+工业互联网”融合应用</w:t>
      </w:r>
    </w:p>
    <w:p w14:paraId="467F75C1">
      <w:pPr>
        <w:keepNext w:val="0"/>
        <w:keepLines w:val="0"/>
        <w:pageBreakBefore w:val="0"/>
        <w:widowControl w:val="0"/>
        <w:kinsoku/>
        <w:wordWrap/>
        <w:overflowPunct/>
        <w:topLinePunct w:val="0"/>
        <w:autoSpaceDE/>
        <w:autoSpaceDN/>
        <w:bidi w:val="0"/>
        <w:adjustRightInd w:val="0"/>
        <w:snapToGrid w:val="0"/>
        <w:spacing w:line="600" w:lineRule="exact"/>
        <w:ind w:firstLine="880"/>
        <w:jc w:val="center"/>
        <w:textAlignment w:val="auto"/>
        <w:rPr>
          <w:rFonts w:eastAsia="方正小标宋简体"/>
          <w:sz w:val="44"/>
          <w:szCs w:val="44"/>
        </w:rPr>
      </w:pPr>
      <w:r>
        <w:rPr>
          <w:rFonts w:eastAsia="方正小标宋简体"/>
          <w:sz w:val="44"/>
          <w:szCs w:val="44"/>
        </w:rPr>
        <w:t>试点城市若干政策措施</w:t>
      </w:r>
    </w:p>
    <w:p w14:paraId="331A0193">
      <w:pPr>
        <w:keepNext w:val="0"/>
        <w:keepLines w:val="0"/>
        <w:pageBreakBefore w:val="0"/>
        <w:widowControl w:val="0"/>
        <w:kinsoku/>
        <w:wordWrap/>
        <w:overflowPunct/>
        <w:topLinePunct w:val="0"/>
        <w:autoSpaceDE/>
        <w:autoSpaceDN/>
        <w:bidi w:val="0"/>
        <w:adjustRightInd w:val="0"/>
        <w:snapToGrid w:val="0"/>
        <w:spacing w:line="600" w:lineRule="exact"/>
        <w:ind w:firstLine="640"/>
        <w:jc w:val="center"/>
        <w:textAlignment w:val="auto"/>
        <w:rPr>
          <w:rFonts w:eastAsia="方正楷体简体"/>
          <w:szCs w:val="32"/>
        </w:rPr>
      </w:pPr>
      <w:r>
        <w:rPr>
          <w:rFonts w:eastAsia="方正楷体简体"/>
          <w:szCs w:val="32"/>
        </w:rPr>
        <w:t>（征求意见稿）</w:t>
      </w:r>
    </w:p>
    <w:p w14:paraId="520206B9">
      <w:pPr>
        <w:topLinePunct/>
        <w:spacing w:line="300" w:lineRule="auto"/>
        <w:ind w:right="-86" w:rightChars="-27" w:firstLine="0" w:firstLineChars="0"/>
        <w:rPr>
          <w:kern w:val="0"/>
          <w:szCs w:val="20"/>
        </w:rPr>
      </w:pPr>
    </w:p>
    <w:p w14:paraId="7611DDD9">
      <w:pPr>
        <w:pStyle w:val="6"/>
        <w:widowControl/>
        <w:spacing w:line="560" w:lineRule="exact"/>
        <w:ind w:firstLine="640"/>
        <w:rPr>
          <w:rFonts w:ascii="Times New Roman" w:hAnsi="Times New Roman"/>
        </w:rPr>
      </w:pPr>
      <w:r>
        <w:rPr>
          <w:rFonts w:ascii="Times New Roman" w:hAnsi="Times New Roman"/>
        </w:rPr>
        <w:t>为高质量推动“5G+工业互联网”融合应用试点城市建设，充分释放“5G+工业互联网”叠加倍增效应，助力推动全市制造业的智能化改造数字化转型，特制定本政策措施。</w:t>
      </w:r>
    </w:p>
    <w:p w14:paraId="140915B0">
      <w:pPr>
        <w:pStyle w:val="6"/>
        <w:widowControl/>
        <w:spacing w:line="560" w:lineRule="exact"/>
        <w:ind w:firstLine="640"/>
        <w:rPr>
          <w:rFonts w:ascii="Times New Roman" w:hAnsi="Times New Roman"/>
          <w:bCs/>
          <w:szCs w:val="24"/>
          <w:lang w:bidi="ar"/>
        </w:rPr>
      </w:pPr>
      <w:r>
        <w:rPr>
          <w:rFonts w:ascii="Times New Roman" w:hAnsi="Times New Roman" w:eastAsia="方正黑体简体"/>
          <w:bCs/>
          <w:color w:val="000000"/>
          <w:szCs w:val="24"/>
          <w:lang w:bidi="ar"/>
        </w:rPr>
        <w:t>一、支持</w:t>
      </w:r>
      <w:r>
        <w:rPr>
          <w:rFonts w:ascii="Times New Roman" w:hAnsi="Times New Roman" w:eastAsia="方正黑体简体"/>
          <w:bCs/>
          <w:szCs w:val="24"/>
          <w:lang w:bidi="ar"/>
        </w:rPr>
        <w:t>5G</w:t>
      </w:r>
      <w:r>
        <w:rPr>
          <w:rFonts w:hint="eastAsia" w:ascii="Times New Roman" w:hAnsi="Times New Roman" w:eastAsia="方正黑体简体"/>
          <w:bCs/>
          <w:szCs w:val="24"/>
          <w:lang w:bidi="ar"/>
        </w:rPr>
        <w:t>产业发展</w:t>
      </w:r>
      <w:r>
        <w:rPr>
          <w:rFonts w:ascii="Times New Roman" w:hAnsi="Times New Roman" w:eastAsia="方正楷体简体"/>
          <w:bCs/>
          <w:color w:val="000000"/>
          <w:szCs w:val="24"/>
          <w:lang w:bidi="ar"/>
        </w:rPr>
        <w:t>。</w:t>
      </w:r>
      <w:bookmarkStart w:id="0" w:name="_Hlk197592704"/>
      <w:r>
        <w:rPr>
          <w:rFonts w:hint="eastAsia" w:ascii="Times New Roman" w:hAnsi="Times New Roman"/>
          <w:bCs/>
          <w:szCs w:val="24"/>
          <w:lang w:bidi="ar"/>
        </w:rPr>
        <w:t>对入选工业和信息化部、四川省通信管理局5G工厂名录的企业，分别给予60万元、30万元奖励。对获得“绽放杯”5G应用征集大赛全国总决赛奖项的项目，给予最高50万元奖励。</w:t>
      </w:r>
    </w:p>
    <w:bookmarkEnd w:id="0"/>
    <w:p w14:paraId="3BE85D28">
      <w:pPr>
        <w:pStyle w:val="6"/>
        <w:widowControl/>
        <w:spacing w:line="560" w:lineRule="exact"/>
        <w:ind w:firstLine="640"/>
        <w:rPr>
          <w:rFonts w:ascii="Times New Roman" w:hAnsi="Times New Roman" w:eastAsia="方正楷体简体"/>
          <w:bCs/>
          <w:color w:val="000000"/>
          <w:szCs w:val="24"/>
        </w:rPr>
      </w:pPr>
      <w:r>
        <w:rPr>
          <w:rFonts w:ascii="Times New Roman" w:hAnsi="Times New Roman" w:eastAsia="方正黑体简体"/>
          <w:bCs/>
          <w:color w:val="000000"/>
          <w:szCs w:val="24"/>
          <w:lang w:bidi="ar"/>
        </w:rPr>
        <w:t>二、支持重大标杆示范</w:t>
      </w:r>
      <w:r>
        <w:rPr>
          <w:rFonts w:ascii="Times New Roman" w:hAnsi="Times New Roman" w:eastAsia="方正楷体简体"/>
          <w:bCs/>
          <w:color w:val="000000"/>
          <w:szCs w:val="24"/>
          <w:lang w:bidi="ar"/>
        </w:rPr>
        <w:t>。</w:t>
      </w:r>
      <w:r>
        <w:rPr>
          <w:rFonts w:ascii="Times New Roman" w:hAnsi="Times New Roman"/>
          <w:bCs/>
          <w:color w:val="000000"/>
          <w:szCs w:val="24"/>
          <w:lang w:bidi="ar"/>
        </w:rPr>
        <w:t>鼓励企业综合应用5G、工业互联网、人工智能等新技术、新装备建设数字化车间和智能工厂，对被评为市级数字化车间和智能工厂分别30万元、50万元奖励；对入选工业和信息化部卓越级及以上智能工厂的企业，给予</w:t>
      </w:r>
      <w:r>
        <w:rPr>
          <w:rFonts w:hint="eastAsia" w:ascii="Times New Roman" w:hAnsi="Times New Roman"/>
          <w:bCs/>
          <w:color w:val="000000"/>
          <w:szCs w:val="24"/>
          <w:lang w:bidi="ar"/>
        </w:rPr>
        <w:t>最高</w:t>
      </w:r>
      <w:r>
        <w:rPr>
          <w:rFonts w:ascii="Times New Roman" w:hAnsi="Times New Roman"/>
          <w:bCs/>
          <w:color w:val="000000"/>
          <w:szCs w:val="24"/>
          <w:lang w:bidi="ar"/>
        </w:rPr>
        <w:t>100万元奖励；对入选工业和信息化部实体经济和数字经济深度融合典型案例的项目，给予每个项目30万元奖励。单个企业一个自然年度内累计奖励金额不超过100万元。</w:t>
      </w:r>
    </w:p>
    <w:p w14:paraId="34745303">
      <w:pPr>
        <w:pStyle w:val="6"/>
        <w:widowControl/>
        <w:spacing w:line="560" w:lineRule="exact"/>
        <w:ind w:firstLine="640"/>
        <w:rPr>
          <w:rFonts w:ascii="Times New Roman" w:hAnsi="Times New Roman" w:eastAsia="方正楷体简体"/>
          <w:bCs/>
          <w:color w:val="000000"/>
          <w:szCs w:val="24"/>
        </w:rPr>
      </w:pPr>
      <w:r>
        <w:rPr>
          <w:rFonts w:ascii="Times New Roman" w:hAnsi="Times New Roman" w:eastAsia="方正黑体简体"/>
          <w:bCs/>
          <w:color w:val="000000"/>
          <w:szCs w:val="24"/>
          <w:lang w:bidi="ar"/>
        </w:rPr>
        <w:t>三、支持产业集群和工业园区5G应用</w:t>
      </w:r>
      <w:r>
        <w:rPr>
          <w:rFonts w:ascii="Times New Roman" w:hAnsi="Times New Roman" w:eastAsia="方正楷体简体"/>
          <w:bCs/>
          <w:color w:val="000000"/>
          <w:szCs w:val="24"/>
          <w:lang w:bidi="ar"/>
        </w:rPr>
        <w:t>。</w:t>
      </w:r>
      <w:r>
        <w:rPr>
          <w:rFonts w:ascii="Times New Roman" w:hAnsi="Times New Roman"/>
          <w:bCs/>
          <w:color w:val="000000"/>
          <w:szCs w:val="24"/>
          <w:lang w:bidi="ar"/>
        </w:rPr>
        <w:t>推动“链网融合”发展，采取“揭榜挂帅”方式，支持链主企业在产业集群内开展5G、工业互联网重大应用</w:t>
      </w:r>
      <w:r>
        <w:rPr>
          <w:rFonts w:ascii="Times New Roman" w:hAnsi="Times New Roman"/>
        </w:rPr>
        <w:t>示范</w:t>
      </w:r>
      <w:r>
        <w:rPr>
          <w:rFonts w:ascii="Times New Roman" w:hAnsi="Times New Roman"/>
          <w:bCs/>
          <w:color w:val="000000"/>
          <w:szCs w:val="24"/>
          <w:lang w:bidi="ar"/>
        </w:rPr>
        <w:t>。实施“立园满园”智慧园区行动，鼓励园区建设运营单位利用5G、人工智能、大数据等新技术实施数字化改造；对</w:t>
      </w:r>
      <w:r>
        <w:rPr>
          <w:rFonts w:eastAsia="仿宋"/>
          <w:szCs w:val="32"/>
        </w:rPr>
        <w:t>评定为三星级、四星级、五星级的智慧园区，分</w:t>
      </w:r>
      <w:r>
        <w:rPr>
          <w:rFonts w:ascii="Times New Roman" w:hAnsi="Times New Roman" w:eastAsia="仿宋"/>
          <w:szCs w:val="32"/>
        </w:rPr>
        <w:t>别给予100万元、200万元、300万元的</w:t>
      </w:r>
      <w:r>
        <w:rPr>
          <w:rFonts w:eastAsia="仿宋"/>
          <w:szCs w:val="32"/>
        </w:rPr>
        <w:t>奖励</w:t>
      </w:r>
      <w:r>
        <w:rPr>
          <w:rFonts w:hint="eastAsia" w:eastAsia="仿宋"/>
          <w:szCs w:val="32"/>
        </w:rPr>
        <w:t>；</w:t>
      </w:r>
      <w:r>
        <w:rPr>
          <w:rFonts w:ascii="Times New Roman" w:hAnsi="Times New Roman"/>
          <w:bCs/>
          <w:color w:val="000000"/>
          <w:szCs w:val="24"/>
          <w:lang w:bidi="ar"/>
        </w:rPr>
        <w:t>对获评国家级数字园区，给予</w:t>
      </w:r>
      <w:r>
        <w:rPr>
          <w:rFonts w:hint="eastAsia" w:ascii="Times New Roman" w:hAnsi="Times New Roman"/>
          <w:bCs/>
          <w:color w:val="000000"/>
          <w:szCs w:val="24"/>
          <w:lang w:bidi="ar"/>
        </w:rPr>
        <w:t>30</w:t>
      </w:r>
      <w:r>
        <w:rPr>
          <w:rFonts w:ascii="Times New Roman" w:hAnsi="Times New Roman"/>
          <w:bCs/>
          <w:color w:val="000000"/>
          <w:szCs w:val="24"/>
          <w:lang w:bidi="ar"/>
        </w:rPr>
        <w:t>0万元奖励。</w:t>
      </w:r>
    </w:p>
    <w:p w14:paraId="59F4FACB">
      <w:pPr>
        <w:pStyle w:val="6"/>
        <w:widowControl/>
        <w:spacing w:line="560" w:lineRule="exact"/>
        <w:ind w:firstLine="640"/>
        <w:rPr>
          <w:rFonts w:ascii="Times New Roman" w:hAnsi="Times New Roman" w:eastAsia="方正楷体简体"/>
          <w:bCs/>
          <w:color w:val="000000"/>
          <w:szCs w:val="24"/>
        </w:rPr>
      </w:pPr>
      <w:r>
        <w:rPr>
          <w:rFonts w:ascii="Times New Roman" w:hAnsi="Times New Roman" w:eastAsia="方正黑体简体"/>
          <w:bCs/>
          <w:color w:val="000000"/>
          <w:szCs w:val="24"/>
          <w:lang w:bidi="ar"/>
        </w:rPr>
        <w:t>四、支持标识解析应用</w:t>
      </w:r>
      <w:r>
        <w:rPr>
          <w:rFonts w:ascii="Times New Roman" w:hAnsi="Times New Roman" w:eastAsia="方正楷体简体"/>
          <w:bCs/>
          <w:color w:val="000000"/>
          <w:szCs w:val="24"/>
          <w:lang w:bidi="ar"/>
        </w:rPr>
        <w:t>。</w:t>
      </w:r>
      <w:r>
        <w:rPr>
          <w:rFonts w:hint="eastAsia" w:ascii="Times New Roman" w:hAnsi="Times New Roman"/>
          <w:color w:val="000000"/>
          <w:szCs w:val="32"/>
          <w:lang w:bidi="ar"/>
        </w:rPr>
        <w:t>对</w:t>
      </w:r>
      <w:r>
        <w:rPr>
          <w:rFonts w:hint="eastAsia" w:ascii="Times New Roman" w:hAnsi="Times New Roman"/>
          <w:color w:val="000000"/>
          <w:szCs w:val="32"/>
          <w:lang w:val="en-US" w:eastAsia="zh-CN" w:bidi="ar"/>
        </w:rPr>
        <w:t>工业互联标识解析</w:t>
      </w:r>
      <w:r>
        <w:rPr>
          <w:rFonts w:hint="eastAsia" w:ascii="Times New Roman" w:hAnsi="Times New Roman"/>
          <w:color w:val="000000"/>
          <w:szCs w:val="32"/>
          <w:lang w:bidi="ar"/>
        </w:rPr>
        <w:t>企业节点</w:t>
      </w:r>
      <w:r>
        <w:rPr>
          <w:rFonts w:hint="eastAsia" w:ascii="Times New Roman" w:hAnsi="Times New Roman"/>
          <w:color w:val="000000"/>
          <w:szCs w:val="32"/>
          <w:lang w:val="en-US" w:eastAsia="zh-CN" w:bidi="ar"/>
        </w:rPr>
        <w:t>的运营主体单位</w:t>
      </w:r>
      <w:r>
        <w:rPr>
          <w:rFonts w:ascii="Times New Roman" w:hAnsi="Times New Roman"/>
          <w:color w:val="000000"/>
          <w:szCs w:val="32"/>
          <w:lang w:bidi="ar"/>
        </w:rPr>
        <w:t>，标识注册量1亿条且年度解析量新增3000万次以上（3000万次、5000万次、1亿次三个层级）</w:t>
      </w:r>
      <w:r>
        <w:rPr>
          <w:rFonts w:hint="eastAsia" w:ascii="Times New Roman" w:hAnsi="Times New Roman"/>
          <w:color w:val="000000"/>
          <w:szCs w:val="32"/>
          <w:lang w:bidi="ar"/>
        </w:rPr>
        <w:t>应用良好的企业</w:t>
      </w:r>
      <w:r>
        <w:rPr>
          <w:rFonts w:ascii="Times New Roman" w:hAnsi="Times New Roman"/>
          <w:color w:val="000000"/>
          <w:szCs w:val="32"/>
          <w:lang w:bidi="ar"/>
        </w:rPr>
        <w:t>，按综合评审排名分档</w:t>
      </w:r>
      <w:r>
        <w:rPr>
          <w:rFonts w:hint="eastAsia" w:ascii="Times New Roman" w:hAnsi="Times New Roman"/>
          <w:color w:val="000000"/>
          <w:szCs w:val="32"/>
          <w:lang w:eastAsia="zh-CN" w:bidi="ar"/>
        </w:rPr>
        <w:t>、</w:t>
      </w:r>
      <w:r>
        <w:rPr>
          <w:rFonts w:ascii="Times New Roman" w:hAnsi="Times New Roman"/>
          <w:color w:val="000000"/>
          <w:szCs w:val="32"/>
          <w:lang w:bidi="ar"/>
        </w:rPr>
        <w:t>分层级给予20万元、30万元、40万元奖励。</w:t>
      </w:r>
    </w:p>
    <w:p w14:paraId="3C4BCCDE">
      <w:pPr>
        <w:pStyle w:val="6"/>
        <w:widowControl/>
        <w:spacing w:line="560" w:lineRule="exact"/>
        <w:ind w:firstLine="640"/>
        <w:rPr>
          <w:rFonts w:ascii="Times New Roman" w:hAnsi="Times New Roman" w:eastAsia="方正楷体简体"/>
          <w:bCs/>
          <w:color w:val="000000"/>
          <w:szCs w:val="24"/>
        </w:rPr>
      </w:pPr>
      <w:r>
        <w:rPr>
          <w:rFonts w:ascii="Times New Roman" w:hAnsi="Times New Roman" w:eastAsia="方正黑体简体"/>
          <w:bCs/>
          <w:color w:val="000000"/>
          <w:szCs w:val="24"/>
          <w:lang w:bidi="ar"/>
        </w:rPr>
        <w:t>五、支持工业企业网络安全建设</w:t>
      </w:r>
      <w:r>
        <w:rPr>
          <w:rFonts w:ascii="Times New Roman" w:hAnsi="Times New Roman"/>
          <w:bCs/>
          <w:color w:val="000000"/>
          <w:szCs w:val="24"/>
          <w:lang w:bidi="ar"/>
        </w:rPr>
        <w:t>。鼓励工业企业开展网络和数据分类分级、整改加固，提升企业安全防护能力，筑牢“5G+工业互联网”安全底座，对综合评定为三星以上（含三星）的市级“工业互联网+安全”企业，给予最高50万元奖励。</w:t>
      </w:r>
    </w:p>
    <w:p w14:paraId="653467DE">
      <w:pPr>
        <w:pStyle w:val="6"/>
        <w:widowControl/>
        <w:spacing w:line="560" w:lineRule="exact"/>
        <w:ind w:firstLine="640"/>
        <w:rPr>
          <w:rFonts w:ascii="Times New Roman" w:hAnsi="Times New Roman"/>
          <w:bCs/>
          <w:color w:val="000000"/>
          <w:szCs w:val="24"/>
          <w:lang w:bidi="ar"/>
        </w:rPr>
      </w:pPr>
      <w:r>
        <w:rPr>
          <w:rFonts w:ascii="Times New Roman" w:hAnsi="Times New Roman" w:eastAsia="方正黑体简体"/>
          <w:bCs/>
          <w:color w:val="000000"/>
          <w:szCs w:val="24"/>
          <w:lang w:bidi="ar"/>
        </w:rPr>
        <w:t>六、支持重大平台建设</w:t>
      </w:r>
      <w:r>
        <w:rPr>
          <w:rFonts w:ascii="Times New Roman" w:hAnsi="Times New Roman" w:eastAsia="方正楷体简体"/>
          <w:bCs/>
          <w:color w:val="000000"/>
          <w:szCs w:val="24"/>
          <w:lang w:bidi="ar"/>
        </w:rPr>
        <w:t>。</w:t>
      </w:r>
      <w:r>
        <w:rPr>
          <w:rFonts w:ascii="Times New Roman" w:hAnsi="Times New Roman"/>
          <w:bCs/>
          <w:color w:val="000000"/>
          <w:szCs w:val="24"/>
          <w:lang w:bidi="ar"/>
        </w:rPr>
        <w:t>建立特色工业互联网平台企业培育库，支持大企业建设工业互联网平台，推动</w:t>
      </w:r>
      <w:r>
        <w:rPr>
          <w:rFonts w:ascii="Times New Roman" w:hAnsi="Times New Roman"/>
        </w:rPr>
        <w:t>工业</w:t>
      </w:r>
      <w:r>
        <w:rPr>
          <w:rFonts w:ascii="Times New Roman" w:hAnsi="Times New Roman"/>
          <w:bCs/>
          <w:color w:val="000000"/>
          <w:szCs w:val="24"/>
          <w:lang w:bidi="ar"/>
        </w:rPr>
        <w:t>APP向平台集聚，对市级示范平台按项目投资额的15%，给予最高500万元补助。</w:t>
      </w:r>
    </w:p>
    <w:p w14:paraId="028E0BEB">
      <w:pPr>
        <w:topLinePunct/>
        <w:spacing w:line="560" w:lineRule="exact"/>
        <w:ind w:firstLine="640"/>
        <w:rPr>
          <w:rFonts w:eastAsia="仿宋"/>
          <w:szCs w:val="32"/>
        </w:rPr>
      </w:pPr>
      <w:r>
        <w:rPr>
          <w:rFonts w:hint="eastAsia" w:ascii="Times New Roman" w:hAnsi="Times New Roman" w:eastAsia="方正黑体简体"/>
          <w:bCs/>
          <w:color w:val="000000"/>
          <w:szCs w:val="24"/>
          <w:lang w:bidi="ar"/>
        </w:rPr>
        <w:t>七</w:t>
      </w:r>
      <w:r>
        <w:rPr>
          <w:rFonts w:ascii="Times New Roman" w:hAnsi="Times New Roman" w:eastAsia="方正黑体简体"/>
          <w:bCs/>
          <w:color w:val="000000"/>
          <w:szCs w:val="24"/>
          <w:lang w:bidi="ar"/>
        </w:rPr>
        <w:t>、</w:t>
      </w:r>
      <w:r>
        <w:rPr>
          <w:rFonts w:eastAsia="方正黑体简体"/>
          <w:bCs/>
          <w:kern w:val="0"/>
          <w:lang w:bidi="ar"/>
        </w:rPr>
        <w:t>加强金融保障支持</w:t>
      </w:r>
      <w:r>
        <w:rPr>
          <w:rFonts w:hint="eastAsia" w:eastAsia="方正黑体简体"/>
          <w:bCs/>
          <w:kern w:val="0"/>
          <w:lang w:eastAsia="zh-CN" w:bidi="ar"/>
        </w:rPr>
        <w:t>。</w:t>
      </w:r>
      <w:r>
        <w:rPr>
          <w:rFonts w:eastAsia="仿宋"/>
          <w:szCs w:val="32"/>
        </w:rPr>
        <w:t>建立“政府贴息、银行让利、担保增信、风险共担”的专项融资机制，鼓励银行创新市场化专项产品补充，通过政策性的“智改数转贷”“设备更新贷”贷款产品支持企业降本增效，推动5G应用、工业互联网建设，单户企业年度可获最高贴息200万元。</w:t>
      </w:r>
    </w:p>
    <w:p w14:paraId="24F89701">
      <w:pPr>
        <w:pStyle w:val="6"/>
        <w:widowControl/>
        <w:spacing w:line="560" w:lineRule="exact"/>
        <w:ind w:firstLine="640"/>
        <w:sectPr>
          <w:footerReference r:id="rId5"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方正黑体简体"/>
          <w:bCs/>
          <w:color w:val="000000"/>
          <w:szCs w:val="24"/>
          <w:lang w:val="en-US" w:eastAsia="zh-CN" w:bidi="ar"/>
        </w:rPr>
        <w:t>八、</w:t>
      </w:r>
      <w:r>
        <w:rPr>
          <w:rFonts w:ascii="Times New Roman" w:hAnsi="Times New Roman" w:eastAsia="方正黑体简体"/>
          <w:bCs/>
          <w:color w:val="000000"/>
          <w:szCs w:val="24"/>
          <w:lang w:bidi="ar"/>
        </w:rPr>
        <w:t>附则。</w:t>
      </w:r>
      <w:r>
        <w:rPr>
          <w:rFonts w:ascii="Times New Roman" w:hAnsi="Times New Roman"/>
          <w:lang w:bidi="ar"/>
        </w:rPr>
        <w:t>本政策自2025年XX月XX日起施行，有效期至2027年12月31日，成都市经济和信息化局、成都市财政局制定本政策的实施细则。本政策与市级其他政策重复的，同一企业同一项目不重复享受，按照就高不就低原则执行。</w:t>
      </w:r>
    </w:p>
    <w:p w14:paraId="580CDF4B">
      <w:pPr>
        <w:spacing w:line="240" w:lineRule="auto"/>
        <w:ind w:left="0" w:leftChars="0" w:firstLine="0" w:firstLineChars="0"/>
      </w:pPr>
      <w:bookmarkStart w:id="1" w:name="_GoBack"/>
      <w:bookmarkEnd w:id="1"/>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panose1 w:val="02010601030101010101"/>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BB341">
    <w:pPr>
      <w:pStyle w:val="2"/>
      <w:ind w:firstLine="360"/>
    </w:pPr>
    <w: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399F39">
                          <w:pPr>
                            <w:pStyle w:val="2"/>
                            <w:ind w:firstLine="640"/>
                          </w:pPr>
                          <w:r>
                            <w:rPr>
                              <w:rFonts w:hint="eastAsia" w:asciiTheme="minorEastAsia" w:hAnsiTheme="minorEastAsia" w:eastAsiaTheme="minorEastAsia" w:cstheme="minorEastAsia"/>
                              <w:sz w:val="32"/>
                              <w:szCs w:val="44"/>
                            </w:rPr>
                            <w:fldChar w:fldCharType="begin"/>
                          </w:r>
                          <w:r>
                            <w:rPr>
                              <w:rFonts w:hint="eastAsia" w:asciiTheme="minorEastAsia" w:hAnsiTheme="minorEastAsia" w:eastAsiaTheme="minorEastAsia" w:cstheme="minorEastAsia"/>
                              <w:sz w:val="32"/>
                              <w:szCs w:val="44"/>
                            </w:rPr>
                            <w:instrText xml:space="preserve"> PAGE  \* MERGEFORMAT </w:instrText>
                          </w:r>
                          <w:r>
                            <w:rPr>
                              <w:rFonts w:hint="eastAsia" w:asciiTheme="minorEastAsia" w:hAnsiTheme="minorEastAsia" w:eastAsiaTheme="minorEastAsia" w:cstheme="minorEastAsia"/>
                              <w:sz w:val="32"/>
                              <w:szCs w:val="44"/>
                            </w:rPr>
                            <w:fldChar w:fldCharType="separate"/>
                          </w:r>
                          <w:r>
                            <w:rPr>
                              <w:rFonts w:hint="eastAsia" w:asciiTheme="minorEastAsia" w:hAnsiTheme="minorEastAsia" w:eastAsiaTheme="minorEastAsia" w:cstheme="minorEastAsia"/>
                              <w:sz w:val="32"/>
                              <w:szCs w:val="44"/>
                            </w:rPr>
                            <w:t>- 1 -</w:t>
                          </w:r>
                          <w:r>
                            <w:rPr>
                              <w:rFonts w:hint="eastAsia" w:asciiTheme="minorEastAsia" w:hAnsiTheme="minorEastAsia" w:eastAsiaTheme="minorEastAsia" w:cstheme="minorEastAsia"/>
                              <w:sz w:val="32"/>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53399F39">
                    <w:pPr>
                      <w:pStyle w:val="2"/>
                      <w:ind w:firstLine="640"/>
                    </w:pPr>
                    <w:r>
                      <w:rPr>
                        <w:rFonts w:hint="eastAsia" w:asciiTheme="minorEastAsia" w:hAnsiTheme="minorEastAsia" w:eastAsiaTheme="minorEastAsia" w:cstheme="minorEastAsia"/>
                        <w:sz w:val="32"/>
                        <w:szCs w:val="44"/>
                      </w:rPr>
                      <w:fldChar w:fldCharType="begin"/>
                    </w:r>
                    <w:r>
                      <w:rPr>
                        <w:rFonts w:hint="eastAsia" w:asciiTheme="minorEastAsia" w:hAnsiTheme="minorEastAsia" w:eastAsiaTheme="minorEastAsia" w:cstheme="minorEastAsia"/>
                        <w:sz w:val="32"/>
                        <w:szCs w:val="44"/>
                      </w:rPr>
                      <w:instrText xml:space="preserve"> PAGE  \* MERGEFORMAT </w:instrText>
                    </w:r>
                    <w:r>
                      <w:rPr>
                        <w:rFonts w:hint="eastAsia" w:asciiTheme="minorEastAsia" w:hAnsiTheme="minorEastAsia" w:eastAsiaTheme="minorEastAsia" w:cstheme="minorEastAsia"/>
                        <w:sz w:val="32"/>
                        <w:szCs w:val="44"/>
                      </w:rPr>
                      <w:fldChar w:fldCharType="separate"/>
                    </w:r>
                    <w:r>
                      <w:rPr>
                        <w:rFonts w:hint="eastAsia" w:asciiTheme="minorEastAsia" w:hAnsiTheme="minorEastAsia" w:eastAsiaTheme="minorEastAsia" w:cstheme="minorEastAsia"/>
                        <w:sz w:val="32"/>
                        <w:szCs w:val="44"/>
                      </w:rPr>
                      <w:t>- 1 -</w:t>
                    </w:r>
                    <w:r>
                      <w:rPr>
                        <w:rFonts w:hint="eastAsia" w:asciiTheme="minorEastAsia" w:hAnsiTheme="minorEastAsia" w:eastAsiaTheme="minorEastAsia" w:cstheme="minorEastAsia"/>
                        <w:sz w:val="32"/>
                        <w:szCs w:val="4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C18BE">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ind w:firstLine="640"/>
      </w:pPr>
      <w:r>
        <w:separator/>
      </w:r>
    </w:p>
  </w:footnote>
  <w:footnote w:type="continuationSeparator" w:id="1">
    <w:p>
      <w:pPr>
        <w:spacing w:line="312"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812536"/>
    <w:rsid w:val="1D812536"/>
    <w:rsid w:val="24AA68E6"/>
    <w:rsid w:val="4EF84E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12" w:lineRule="auto"/>
      <w:ind w:firstLine="200" w:firstLineChars="200"/>
      <w:jc w:val="both"/>
    </w:pPr>
    <w:rPr>
      <w:rFonts w:ascii="Times New Roman" w:hAnsi="Times New Roman" w:eastAsia="方正仿宋简体" w:cs="Times New Roman"/>
      <w:kern w:val="2"/>
      <w:sz w:val="32"/>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公文正文"/>
    <w:qFormat/>
    <w:uiPriority w:val="0"/>
    <w:pPr>
      <w:widowControl w:val="0"/>
      <w:topLinePunct/>
      <w:adjustRightInd w:val="0"/>
      <w:snapToGrid w:val="0"/>
      <w:spacing w:line="312" w:lineRule="auto"/>
      <w:ind w:firstLine="200" w:firstLineChars="200"/>
      <w:jc w:val="both"/>
    </w:pPr>
    <w:rPr>
      <w:rFonts w:ascii="Calibri" w:hAnsi="Calibri" w:eastAsia="方正仿宋简体" w:cs="Times New Roman"/>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2025-09-12T08:00:00Z</dcterms:created>
  <dc:creator>陶思婷</dc:creator>
  <cp:lastModifiedBy>陶思婷</cp:lastModifiedBy>
  <dcterms:modified xsi:type="dcterms:W3CDTF">2025-09-12T08:03:20Z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75AB9E94512E4EC5A920E53C805767AA_11</vt:lpwstr>
  </property>
  <property fmtid="{D5CDD505-2E9C-101B-9397-08002B2CF9AE}" pid="4" name="KSOTemplateDocerSaveRecord">
    <vt:lpwstr>eyJoZGlkIjoiOWNmNmUwYjg0ZDUzY2VlZTUxNjRkNjM0MjVlMmQ2MjAiLCJ1c2VySWQiOiIyNzY1MjczMTQifQ==</vt:lpwstr>
  </property>
</Properties>
</file>