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08B65">
      <w:pPr>
        <w:rPr>
          <w:rFonts w:hint="eastAsia" w:ascii="方正黑体简体" w:hAnsi="方正黑体简体" w:eastAsia="方正黑体简体" w:cs="方正黑体简体"/>
          <w:spacing w:val="-8"/>
          <w:sz w:val="32"/>
          <w:szCs w:val="32"/>
          <w:lang w:val="en-US" w:eastAsia="zh-CN"/>
        </w:rPr>
      </w:pPr>
      <w:r>
        <w:rPr>
          <w:rFonts w:hint="eastAsia" w:ascii="方正黑体简体" w:hAnsi="方正黑体简体" w:eastAsia="方正黑体简体" w:cs="方正黑体简体"/>
          <w:spacing w:val="-8"/>
          <w:sz w:val="32"/>
          <w:szCs w:val="32"/>
          <w:lang w:val="en-US" w:eastAsia="zh-CN"/>
        </w:rPr>
        <w:t>附件</w:t>
      </w:r>
    </w:p>
    <w:p w14:paraId="7D3EDCC1">
      <w:pPr>
        <w:adjustRightInd w:val="0"/>
        <w:snapToGrid w:val="0"/>
        <w:jc w:val="center"/>
        <w:rPr>
          <w:rFonts w:eastAsia="方正小标宋简体"/>
          <w:spacing w:val="-8"/>
          <w:sz w:val="44"/>
          <w:szCs w:val="44"/>
        </w:rPr>
      </w:pPr>
      <w:r>
        <w:rPr>
          <w:rFonts w:eastAsia="方正小标宋简体"/>
          <w:spacing w:val="-8"/>
          <w:sz w:val="44"/>
          <w:szCs w:val="44"/>
        </w:rPr>
        <w:t>成都市促进新能源汽车产业发展财政奖励</w:t>
      </w:r>
    </w:p>
    <w:p w14:paraId="08E30CEC">
      <w:pPr>
        <w:adjustRightInd w:val="0"/>
        <w:snapToGrid w:val="0"/>
        <w:jc w:val="center"/>
        <w:rPr>
          <w:rFonts w:eastAsia="方正小标宋简体"/>
          <w:spacing w:val="-8"/>
          <w:sz w:val="44"/>
          <w:szCs w:val="44"/>
        </w:rPr>
      </w:pPr>
      <w:r>
        <w:rPr>
          <w:rFonts w:eastAsia="方正小标宋简体"/>
          <w:spacing w:val="-8"/>
          <w:sz w:val="44"/>
          <w:szCs w:val="44"/>
        </w:rPr>
        <w:t>实施细则</w:t>
      </w:r>
      <w:r>
        <w:rPr>
          <w:rFonts w:hint="eastAsia" w:eastAsia="方正小标宋简体"/>
          <w:spacing w:val="-8"/>
          <w:sz w:val="44"/>
          <w:szCs w:val="44"/>
        </w:rPr>
        <w:t>修订版</w:t>
      </w:r>
    </w:p>
    <w:p w14:paraId="1AEC3E0B">
      <w:pPr>
        <w:adjustRightInd w:val="0"/>
        <w:snapToGrid w:val="0"/>
        <w:jc w:val="center"/>
        <w:rPr>
          <w:rFonts w:ascii="方正楷体简体" w:hAnsi="方正楷体简体" w:eastAsia="方正楷体简体" w:cs="方正楷体简体"/>
        </w:rPr>
      </w:pPr>
      <w:r>
        <w:rPr>
          <w:rFonts w:hint="eastAsia" w:ascii="方正楷体简体" w:hAnsi="方正楷体简体" w:eastAsia="方正楷体简体" w:cs="方正楷体简体"/>
        </w:rPr>
        <w:t>（征求意见稿）</w:t>
      </w:r>
    </w:p>
    <w:p w14:paraId="5B817A0B">
      <w:pPr>
        <w:overflowPunct w:val="0"/>
        <w:topLinePunct/>
        <w:adjustRightInd w:val="0"/>
        <w:snapToGrid w:val="0"/>
        <w:jc w:val="center"/>
      </w:pPr>
    </w:p>
    <w:p w14:paraId="07BB4EED">
      <w:pPr>
        <w:overflowPunct w:val="0"/>
        <w:topLinePunct/>
        <w:adjustRightInd w:val="0"/>
        <w:snapToGrid w:val="0"/>
        <w:spacing w:line="300" w:lineRule="auto"/>
        <w:ind w:firstLine="640" w:firstLineChars="200"/>
      </w:pPr>
      <w:r>
        <w:t>为贯彻《国务院办公厅关于印发新能源汽车产业发展规划（2021—2035年）的通知》（国办发〔2020〕39号）</w:t>
      </w:r>
      <w:r>
        <w:rPr>
          <w:rFonts w:hint="eastAsia"/>
        </w:rPr>
        <w:t>部署，落实</w:t>
      </w:r>
      <w:r>
        <w:t>《成都市人民政府办公厅关于成都市促进新能源汽车产业发展的实施意见》（成办规〔2023〕2号）</w:t>
      </w:r>
      <w:r>
        <w:rPr>
          <w:rFonts w:hint="eastAsia"/>
        </w:rPr>
        <w:t>要求</w:t>
      </w:r>
      <w:r>
        <w:rPr>
          <w:snapToGrid w:val="0"/>
        </w:rPr>
        <w:t>，加快</w:t>
      </w:r>
      <w:r>
        <w:t>新能源汽车产业发展，推动公共领域车辆全面电动化，</w:t>
      </w:r>
      <w:r>
        <w:rPr>
          <w:rFonts w:hint="eastAsia"/>
        </w:rPr>
        <w:t>特</w:t>
      </w:r>
      <w:r>
        <w:t>制定本细则。</w:t>
      </w:r>
    </w:p>
    <w:p w14:paraId="6822A1CC">
      <w:pPr>
        <w:overflowPunct w:val="0"/>
        <w:topLinePunct/>
        <w:adjustRightInd w:val="0"/>
        <w:snapToGrid w:val="0"/>
        <w:spacing w:line="300" w:lineRule="auto"/>
        <w:ind w:firstLine="640" w:firstLineChars="200"/>
        <w:rPr>
          <w:rFonts w:eastAsia="方正黑体简体"/>
          <w:snapToGrid w:val="0"/>
        </w:rPr>
      </w:pPr>
      <w:r>
        <w:rPr>
          <w:rFonts w:eastAsia="方正黑体简体"/>
          <w:snapToGrid w:val="0"/>
        </w:rPr>
        <w:t>一、新能源车型产销奖励</w:t>
      </w:r>
    </w:p>
    <w:p w14:paraId="5FE7E8FF">
      <w:pPr>
        <w:overflowPunct w:val="0"/>
        <w:topLinePunct/>
        <w:adjustRightInd w:val="0"/>
        <w:snapToGrid w:val="0"/>
        <w:spacing w:line="300" w:lineRule="auto"/>
        <w:ind w:firstLine="640" w:firstLineChars="200"/>
      </w:pPr>
      <w:r>
        <w:rPr>
          <w:rFonts w:eastAsia="方正楷体简体"/>
        </w:rPr>
        <w:t>（一）奖励政策。</w:t>
      </w:r>
      <w:r>
        <w:t>对整车企业研发或导入新能源车型（含二类底盘）并投产上市实现销售的，综合考虑车型、车价和</w:t>
      </w:r>
      <w:r>
        <w:rPr>
          <w:rFonts w:hint="eastAsia"/>
        </w:rPr>
        <w:t>产</w:t>
      </w:r>
      <w:r>
        <w:t>销量，给予单个车型最高5000万元的产销奖励，以单个车型上年产销量为基数计算次年奖励金额（重点领域除外），单个车辆不重复享受奖励。</w:t>
      </w:r>
    </w:p>
    <w:p w14:paraId="7F480D51">
      <w:pPr>
        <w:overflowPunct w:val="0"/>
        <w:topLinePunct/>
        <w:adjustRightInd w:val="0"/>
        <w:snapToGrid w:val="0"/>
        <w:spacing w:line="300" w:lineRule="auto"/>
        <w:ind w:firstLine="640" w:firstLineChars="200"/>
        <w:rPr>
          <w:rFonts w:eastAsia="方正楷体简体"/>
        </w:rPr>
      </w:pPr>
      <w:r>
        <w:rPr>
          <w:rFonts w:eastAsia="方正楷体简体"/>
        </w:rPr>
        <w:t>（二）</w:t>
      </w:r>
      <w:r>
        <w:rPr>
          <w:rFonts w:hint="eastAsia" w:eastAsia="方正楷体简体"/>
        </w:rPr>
        <w:t>申报条件。</w:t>
      </w:r>
    </w:p>
    <w:p w14:paraId="13378E43">
      <w:pPr>
        <w:numPr>
          <w:ilvl w:val="0"/>
          <w:numId w:val="1"/>
        </w:numPr>
        <w:overflowPunct w:val="0"/>
        <w:topLinePunct/>
        <w:adjustRightInd w:val="0"/>
        <w:snapToGrid w:val="0"/>
        <w:spacing w:line="300" w:lineRule="auto"/>
        <w:ind w:firstLine="640" w:firstLineChars="200"/>
      </w:pPr>
      <w:r>
        <w:rPr>
          <w:rFonts w:hint="eastAsia"/>
        </w:rPr>
        <w:t>已进入《国家机动车辆生产企业及产品目录》的</w:t>
      </w:r>
      <w:r>
        <w:t>整车企业（不含改装车企）</w:t>
      </w:r>
      <w:r>
        <w:rPr>
          <w:rFonts w:hint="eastAsia"/>
        </w:rPr>
        <w:t>和新能源车型；</w:t>
      </w:r>
    </w:p>
    <w:p w14:paraId="6ACB6583">
      <w:pPr>
        <w:numPr>
          <w:ilvl w:val="0"/>
          <w:numId w:val="1"/>
        </w:numPr>
        <w:overflowPunct w:val="0"/>
        <w:topLinePunct/>
        <w:adjustRightInd w:val="0"/>
        <w:snapToGrid w:val="0"/>
        <w:spacing w:line="300" w:lineRule="auto"/>
        <w:ind w:firstLine="640" w:firstLineChars="200"/>
      </w:pPr>
      <w:r>
        <w:rPr>
          <w:rFonts w:hint="eastAsia"/>
        </w:rPr>
        <w:t>已实现投产上市销售，并已通过车型评审的新能源车型。</w:t>
      </w:r>
    </w:p>
    <w:p w14:paraId="544A8129">
      <w:pPr>
        <w:overflowPunct w:val="0"/>
        <w:topLinePunct/>
        <w:adjustRightInd w:val="0"/>
        <w:snapToGrid w:val="0"/>
        <w:spacing w:line="300" w:lineRule="auto"/>
        <w:ind w:firstLine="640" w:firstLineChars="200"/>
      </w:pPr>
      <w:r>
        <w:rPr>
          <w:rFonts w:eastAsia="方正楷体简体"/>
        </w:rPr>
        <w:t>（</w:t>
      </w:r>
      <w:r>
        <w:rPr>
          <w:rFonts w:hint="eastAsia" w:eastAsia="方正楷体简体"/>
        </w:rPr>
        <w:t>三</w:t>
      </w:r>
      <w:r>
        <w:rPr>
          <w:rFonts w:eastAsia="方正楷体简体"/>
        </w:rPr>
        <w:t>）申报材料。</w:t>
      </w:r>
      <w:r>
        <w:t>产销奖励申报所需材料如下：</w:t>
      </w:r>
    </w:p>
    <w:p w14:paraId="5057B34E">
      <w:pPr>
        <w:overflowPunct w:val="0"/>
        <w:topLinePunct/>
        <w:adjustRightInd w:val="0"/>
        <w:snapToGrid w:val="0"/>
        <w:spacing w:line="300" w:lineRule="auto"/>
        <w:ind w:firstLine="640" w:firstLineChars="200"/>
      </w:pPr>
      <w:r>
        <w:t>1．奖励资金申请报告；</w:t>
      </w:r>
    </w:p>
    <w:p w14:paraId="28D57755">
      <w:pPr>
        <w:overflowPunct w:val="0"/>
        <w:topLinePunct/>
        <w:adjustRightInd w:val="0"/>
        <w:snapToGrid w:val="0"/>
        <w:spacing w:line="300" w:lineRule="auto"/>
        <w:ind w:firstLine="640" w:firstLineChars="200"/>
      </w:pPr>
      <w:r>
        <w:t>2．单位营业执照（复印件）；</w:t>
      </w:r>
    </w:p>
    <w:p w14:paraId="62858749">
      <w:pPr>
        <w:overflowPunct w:val="0"/>
        <w:topLinePunct/>
        <w:adjustRightInd w:val="0"/>
        <w:snapToGrid w:val="0"/>
        <w:spacing w:line="300" w:lineRule="auto"/>
        <w:ind w:firstLine="640" w:firstLineChars="200"/>
      </w:pPr>
      <w:r>
        <w:t>3．产销奖励车型汇总表；</w:t>
      </w:r>
    </w:p>
    <w:p w14:paraId="340BF527">
      <w:pPr>
        <w:overflowPunct w:val="0"/>
        <w:topLinePunct/>
        <w:adjustRightInd w:val="0"/>
        <w:snapToGrid w:val="0"/>
        <w:spacing w:line="300" w:lineRule="auto"/>
        <w:ind w:firstLine="640" w:firstLineChars="200"/>
      </w:pPr>
      <w:r>
        <w:t>4．销售车辆明细表</w:t>
      </w:r>
      <w:r>
        <w:rPr>
          <w:rFonts w:hint="eastAsia"/>
        </w:rPr>
        <w:t>、</w:t>
      </w:r>
      <w:r>
        <w:t>车辆合格证、销售发票；</w:t>
      </w:r>
    </w:p>
    <w:p w14:paraId="41A53C28">
      <w:pPr>
        <w:overflowPunct w:val="0"/>
        <w:topLinePunct/>
        <w:adjustRightInd w:val="0"/>
        <w:snapToGrid w:val="0"/>
        <w:spacing w:line="300" w:lineRule="auto"/>
        <w:ind w:firstLine="640" w:firstLineChars="200"/>
      </w:pPr>
      <w:r>
        <w:t>5．</w:t>
      </w:r>
      <w:r>
        <w:rPr>
          <w:rFonts w:hint="eastAsia"/>
        </w:rPr>
        <w:t>重点领域车型提供有资质的</w:t>
      </w:r>
      <w:r>
        <w:t>第三方机构出具的</w:t>
      </w:r>
      <w:r>
        <w:rPr>
          <w:rFonts w:hint="eastAsia"/>
        </w:rPr>
        <w:t>智能网联系统</w:t>
      </w:r>
      <w:r>
        <w:t>搭载证明</w:t>
      </w:r>
      <w:r>
        <w:rPr>
          <w:rFonts w:hint="eastAsia"/>
        </w:rPr>
        <w:t>；</w:t>
      </w:r>
    </w:p>
    <w:p w14:paraId="29BFD143">
      <w:pPr>
        <w:overflowPunct w:val="0"/>
        <w:topLinePunct/>
        <w:adjustRightInd w:val="0"/>
        <w:snapToGrid w:val="0"/>
        <w:spacing w:line="300" w:lineRule="auto"/>
        <w:ind w:firstLine="640" w:firstLineChars="200"/>
        <w:rPr>
          <w:rFonts w:eastAsia="方正黑体简体"/>
          <w:snapToGrid w:val="0"/>
        </w:rPr>
      </w:pPr>
      <w:r>
        <w:rPr>
          <w:rFonts w:hint="eastAsia"/>
        </w:rPr>
        <w:t>6</w:t>
      </w:r>
      <w:r>
        <w:t>．材料申报材料真实性</w:t>
      </w:r>
      <w:r>
        <w:rPr>
          <w:rFonts w:hint="eastAsia"/>
        </w:rPr>
        <w:t>承诺</w:t>
      </w:r>
      <w:r>
        <w:t>。</w:t>
      </w:r>
    </w:p>
    <w:p w14:paraId="318F2196">
      <w:pPr>
        <w:overflowPunct w:val="0"/>
        <w:topLinePunct/>
        <w:adjustRightInd w:val="0"/>
        <w:snapToGrid w:val="0"/>
        <w:spacing w:line="300" w:lineRule="auto"/>
        <w:ind w:firstLine="640" w:firstLineChars="200"/>
        <w:rPr>
          <w:rFonts w:eastAsia="方正黑体简体"/>
          <w:snapToGrid w:val="0"/>
        </w:rPr>
      </w:pPr>
      <w:r>
        <w:rPr>
          <w:rFonts w:eastAsia="方正黑体简体"/>
          <w:snapToGrid w:val="0"/>
        </w:rPr>
        <w:t>二、强链稳链补链奖励</w:t>
      </w:r>
    </w:p>
    <w:p w14:paraId="353CF278">
      <w:pPr>
        <w:overflowPunct w:val="0"/>
        <w:topLinePunct/>
        <w:adjustRightInd w:val="0"/>
        <w:snapToGrid w:val="0"/>
        <w:spacing w:line="300" w:lineRule="auto"/>
        <w:ind w:firstLine="640" w:firstLineChars="200"/>
        <w:rPr>
          <w:rFonts w:eastAsia="方正楷体简体"/>
        </w:rPr>
      </w:pPr>
      <w:r>
        <w:rPr>
          <w:rFonts w:eastAsia="方正楷体简体"/>
        </w:rPr>
        <w:t>（一）奖励</w:t>
      </w:r>
      <w:r>
        <w:rPr>
          <w:rFonts w:hint="eastAsia" w:eastAsia="方正楷体简体"/>
        </w:rPr>
        <w:t>标准</w:t>
      </w:r>
    </w:p>
    <w:p w14:paraId="3AB74ACD">
      <w:pPr>
        <w:overflowPunct w:val="0"/>
        <w:topLinePunct/>
        <w:adjustRightInd w:val="0"/>
        <w:snapToGrid w:val="0"/>
        <w:spacing w:line="300" w:lineRule="auto"/>
        <w:ind w:firstLine="640" w:firstLineChars="200"/>
      </w:pPr>
      <w:r>
        <w:t>1．对零部件供应商出具订单、应</w:t>
      </w:r>
      <w:bookmarkStart w:id="0" w:name="_GoBack"/>
      <w:bookmarkEnd w:id="0"/>
      <w:r>
        <w:t>付账款等供应链金融融资凭证，年融资总额达到5亿元的，给予</w:t>
      </w:r>
      <w:r>
        <w:rPr>
          <w:rFonts w:hint="eastAsia"/>
        </w:rPr>
        <w:t>整车或零部件总成企业</w:t>
      </w:r>
      <w:r>
        <w:t>2‰、最高100万元的奖励。</w:t>
      </w:r>
    </w:p>
    <w:p w14:paraId="78720F52">
      <w:pPr>
        <w:overflowPunct w:val="0"/>
        <w:topLinePunct/>
        <w:adjustRightInd w:val="0"/>
        <w:snapToGrid w:val="0"/>
        <w:spacing w:line="300" w:lineRule="auto"/>
        <w:ind w:firstLine="640" w:firstLineChars="200"/>
      </w:pPr>
      <w:r>
        <w:rPr>
          <w:rFonts w:hint="eastAsia"/>
        </w:rPr>
        <w:t>2</w:t>
      </w:r>
      <w:r>
        <w:t>．对采购符合条件的</w:t>
      </w:r>
      <w:r>
        <w:rPr>
          <w:rFonts w:hint="eastAsia" w:ascii="方正仿宋简体"/>
        </w:rPr>
        <w:t>“</w:t>
      </w:r>
      <w:r>
        <w:t>三电系统</w:t>
      </w:r>
      <w:r>
        <w:rPr>
          <w:rFonts w:hint="eastAsia" w:ascii="方正仿宋简体"/>
        </w:rPr>
        <w:t>”</w:t>
      </w:r>
      <w:r>
        <w:t>、年采购额达到5000万元的整车企业（关联企业除外），每增加500万元采购额奖励10万元，单个企业每年最高奖励300万元，以该企业上年采购总额为基数计算次年奖励金额。</w:t>
      </w:r>
    </w:p>
    <w:p w14:paraId="41C615BA">
      <w:pPr>
        <w:overflowPunct w:val="0"/>
        <w:topLinePunct/>
        <w:adjustRightInd w:val="0"/>
        <w:snapToGrid w:val="0"/>
        <w:spacing w:line="300" w:lineRule="auto"/>
        <w:ind w:firstLine="640" w:firstLineChars="200"/>
      </w:pPr>
      <w:r>
        <w:rPr>
          <w:rFonts w:eastAsia="方正楷体简体"/>
        </w:rPr>
        <w:t>（二）申报材料。</w:t>
      </w:r>
      <w:r>
        <w:t>强链稳链补链奖励所需申报材料如下：</w:t>
      </w:r>
    </w:p>
    <w:p w14:paraId="1B0AA871">
      <w:pPr>
        <w:overflowPunct w:val="0"/>
        <w:topLinePunct/>
        <w:adjustRightInd w:val="0"/>
        <w:snapToGrid w:val="0"/>
        <w:spacing w:line="300" w:lineRule="auto"/>
        <w:ind w:firstLine="640" w:firstLineChars="200"/>
      </w:pPr>
      <w:r>
        <w:t>1．奖励资金申请报告；</w:t>
      </w:r>
    </w:p>
    <w:p w14:paraId="0A65FCED">
      <w:pPr>
        <w:overflowPunct w:val="0"/>
        <w:topLinePunct/>
        <w:adjustRightInd w:val="0"/>
        <w:snapToGrid w:val="0"/>
        <w:spacing w:line="300" w:lineRule="auto"/>
        <w:ind w:firstLine="640" w:firstLineChars="200"/>
      </w:pPr>
      <w:r>
        <w:rPr>
          <w:rFonts w:hint="eastAsia"/>
        </w:rPr>
        <w:t>2</w:t>
      </w:r>
      <w:r>
        <w:t>．单位营业执照（复印件）；</w:t>
      </w:r>
    </w:p>
    <w:p w14:paraId="051B5AB2">
      <w:pPr>
        <w:overflowPunct w:val="0"/>
        <w:topLinePunct/>
        <w:adjustRightInd w:val="0"/>
        <w:snapToGrid w:val="0"/>
        <w:spacing w:line="300" w:lineRule="auto"/>
        <w:ind w:firstLine="640" w:firstLineChars="200"/>
      </w:pPr>
      <w:r>
        <w:rPr>
          <w:rFonts w:hint="eastAsia"/>
        </w:rPr>
        <w:t>3</w:t>
      </w:r>
      <w:r>
        <w:t>．供应链金融融资奖励</w:t>
      </w:r>
    </w:p>
    <w:p w14:paraId="63013C2F">
      <w:pPr>
        <w:overflowPunct w:val="0"/>
        <w:topLinePunct/>
        <w:adjustRightInd w:val="0"/>
        <w:snapToGrid w:val="0"/>
        <w:spacing w:line="300" w:lineRule="auto"/>
        <w:ind w:firstLine="640" w:firstLineChars="200"/>
      </w:pPr>
      <w:r>
        <w:t>（1）供应链金融融资项目汇总表；</w:t>
      </w:r>
    </w:p>
    <w:p w14:paraId="07741B87">
      <w:pPr>
        <w:overflowPunct w:val="0"/>
        <w:topLinePunct/>
        <w:adjustRightInd w:val="0"/>
        <w:snapToGrid w:val="0"/>
        <w:spacing w:line="300" w:lineRule="auto"/>
        <w:ind w:firstLine="640" w:firstLineChars="200"/>
      </w:pPr>
      <w:r>
        <w:t>（2）双方签订的合作协议和采购协议复印件；</w:t>
      </w:r>
    </w:p>
    <w:p w14:paraId="070CAFD2">
      <w:pPr>
        <w:overflowPunct w:val="0"/>
        <w:topLinePunct/>
        <w:adjustRightInd w:val="0"/>
        <w:snapToGrid w:val="0"/>
        <w:spacing w:line="300" w:lineRule="auto"/>
        <w:ind w:firstLine="640" w:firstLineChars="200"/>
      </w:pPr>
      <w:r>
        <w:t>（3）奖励对象出具的应付账款相关证明材料；</w:t>
      </w:r>
    </w:p>
    <w:p w14:paraId="7C6CD9DE">
      <w:pPr>
        <w:overflowPunct w:val="0"/>
        <w:topLinePunct/>
        <w:adjustRightInd w:val="0"/>
        <w:snapToGrid w:val="0"/>
        <w:spacing w:line="300" w:lineRule="auto"/>
        <w:ind w:firstLine="640" w:firstLineChars="200"/>
      </w:pPr>
      <w:r>
        <w:t>（4）银行贷款合同、放款等相关证明材料。</w:t>
      </w:r>
    </w:p>
    <w:p w14:paraId="54DB9682">
      <w:pPr>
        <w:overflowPunct w:val="0"/>
        <w:topLinePunct/>
        <w:adjustRightInd w:val="0"/>
        <w:snapToGrid w:val="0"/>
        <w:spacing w:line="300" w:lineRule="auto"/>
        <w:ind w:firstLine="640" w:firstLineChars="200"/>
      </w:pPr>
      <w:r>
        <w:rPr>
          <w:rFonts w:hint="eastAsia"/>
        </w:rPr>
        <w:t>4</w:t>
      </w:r>
      <w:r>
        <w:t>．</w:t>
      </w:r>
      <w:r>
        <w:rPr>
          <w:rFonts w:hint="eastAsia" w:ascii="方正仿宋简体"/>
        </w:rPr>
        <w:t>“</w:t>
      </w:r>
      <w:r>
        <w:t>三电</w:t>
      </w:r>
      <w:r>
        <w:rPr>
          <w:rFonts w:hint="eastAsia" w:ascii="方正仿宋简体"/>
        </w:rPr>
        <w:t>”</w:t>
      </w:r>
      <w:r>
        <w:t>系统采购奖励</w:t>
      </w:r>
    </w:p>
    <w:p w14:paraId="5EF547B2">
      <w:pPr>
        <w:overflowPunct w:val="0"/>
        <w:topLinePunct/>
        <w:adjustRightInd w:val="0"/>
        <w:snapToGrid w:val="0"/>
        <w:spacing w:line="300" w:lineRule="auto"/>
        <w:ind w:firstLine="640" w:firstLineChars="200"/>
      </w:pPr>
      <w:r>
        <w:t>（1）</w:t>
      </w:r>
      <w:r>
        <w:rPr>
          <w:rFonts w:hint="eastAsia" w:ascii="方正仿宋简体"/>
        </w:rPr>
        <w:t>“</w:t>
      </w:r>
      <w:r>
        <w:t>三电</w:t>
      </w:r>
      <w:r>
        <w:rPr>
          <w:rFonts w:hint="eastAsia" w:ascii="方正仿宋简体"/>
        </w:rPr>
        <w:t>”</w:t>
      </w:r>
      <w:r>
        <w:t>系统采购（或销售）项目汇总表；</w:t>
      </w:r>
    </w:p>
    <w:p w14:paraId="056120D7">
      <w:pPr>
        <w:overflowPunct w:val="0"/>
        <w:topLinePunct/>
        <w:adjustRightInd w:val="0"/>
        <w:snapToGrid w:val="0"/>
        <w:spacing w:line="300" w:lineRule="auto"/>
        <w:ind w:firstLine="640" w:firstLineChars="200"/>
      </w:pPr>
      <w:r>
        <w:t>（2）签订的合作协议和采购协议复印件；</w:t>
      </w:r>
    </w:p>
    <w:p w14:paraId="61F80FC8">
      <w:pPr>
        <w:overflowPunct w:val="0"/>
        <w:topLinePunct/>
        <w:adjustRightInd w:val="0"/>
        <w:snapToGrid w:val="0"/>
        <w:spacing w:line="300" w:lineRule="auto"/>
        <w:ind w:firstLine="640" w:firstLineChars="200"/>
      </w:pPr>
      <w:r>
        <w:t>（3）</w:t>
      </w:r>
      <w:r>
        <w:rPr>
          <w:rFonts w:hint="eastAsia" w:ascii="方正仿宋简体"/>
        </w:rPr>
        <w:t>“</w:t>
      </w:r>
      <w:r>
        <w:t>三电</w:t>
      </w:r>
      <w:r>
        <w:rPr>
          <w:rFonts w:hint="eastAsia" w:ascii="方正仿宋简体"/>
        </w:rPr>
        <w:t>”</w:t>
      </w:r>
      <w:r>
        <w:t>系统应用车型公告参数页；</w:t>
      </w:r>
    </w:p>
    <w:p w14:paraId="3771BD04">
      <w:pPr>
        <w:overflowPunct w:val="0"/>
        <w:topLinePunct/>
        <w:adjustRightInd w:val="0"/>
        <w:snapToGrid w:val="0"/>
        <w:spacing w:line="300" w:lineRule="auto"/>
        <w:ind w:firstLine="640" w:firstLineChars="200"/>
      </w:pPr>
      <w:r>
        <w:t>（4）上一年度</w:t>
      </w:r>
      <w:r>
        <w:rPr>
          <w:rFonts w:hint="eastAsia" w:ascii="方正仿宋简体"/>
        </w:rPr>
        <w:t>“</w:t>
      </w:r>
      <w:r>
        <w:t>三电</w:t>
      </w:r>
      <w:r>
        <w:rPr>
          <w:rFonts w:hint="eastAsia" w:ascii="方正仿宋简体"/>
        </w:rPr>
        <w:t>”</w:t>
      </w:r>
      <w:r>
        <w:t>系统采购专项审计报告。</w:t>
      </w:r>
    </w:p>
    <w:p w14:paraId="176DB9B8">
      <w:pPr>
        <w:overflowPunct w:val="0"/>
        <w:topLinePunct/>
        <w:adjustRightInd w:val="0"/>
        <w:snapToGrid w:val="0"/>
        <w:spacing w:line="300" w:lineRule="auto"/>
        <w:ind w:firstLine="640" w:firstLineChars="200"/>
      </w:pPr>
      <w:r>
        <w:rPr>
          <w:rFonts w:hint="eastAsia"/>
        </w:rPr>
        <w:t>5</w:t>
      </w:r>
      <w:r>
        <w:t>．申报材料真实性承诺书</w:t>
      </w:r>
      <w:r>
        <w:rPr>
          <w:rFonts w:hint="eastAsia"/>
        </w:rPr>
        <w:t>。</w:t>
      </w:r>
    </w:p>
    <w:p w14:paraId="1B36100F">
      <w:pPr>
        <w:overflowPunct w:val="0"/>
        <w:topLinePunct/>
        <w:adjustRightInd w:val="0"/>
        <w:snapToGrid w:val="0"/>
        <w:spacing w:line="300" w:lineRule="auto"/>
        <w:ind w:firstLine="640" w:firstLineChars="200"/>
      </w:pPr>
      <w:r>
        <w:rPr>
          <w:rFonts w:hint="eastAsia" w:eastAsia="方正黑体简体"/>
          <w:snapToGrid w:val="0"/>
        </w:rPr>
        <w:t>三</w:t>
      </w:r>
      <w:r>
        <w:rPr>
          <w:rFonts w:eastAsia="方正黑体简体"/>
          <w:snapToGrid w:val="0"/>
        </w:rPr>
        <w:t>、附则</w:t>
      </w:r>
    </w:p>
    <w:p w14:paraId="6C949B07">
      <w:pPr>
        <w:overflowPunct w:val="0"/>
        <w:topLinePunct/>
        <w:adjustRightInd w:val="0"/>
        <w:snapToGrid w:val="0"/>
        <w:spacing w:line="300" w:lineRule="auto"/>
        <w:ind w:firstLine="640" w:firstLineChars="200"/>
      </w:pPr>
      <w:r>
        <w:t>（</w:t>
      </w:r>
      <w:r>
        <w:rPr>
          <w:rFonts w:hint="eastAsia"/>
        </w:rPr>
        <w:t>一</w:t>
      </w:r>
      <w:r>
        <w:t>）本细则</w:t>
      </w:r>
      <w:r>
        <w:rPr>
          <w:rFonts w:hint="eastAsia"/>
        </w:rPr>
        <w:t>正文和附件中</w:t>
      </w:r>
      <w:r>
        <w:rPr>
          <w:rFonts w:hint="eastAsia" w:ascii="方正仿宋简体"/>
        </w:rPr>
        <w:t>“</w:t>
      </w:r>
      <w:r>
        <w:rPr>
          <w:rFonts w:hint="eastAsia"/>
        </w:rPr>
        <w:t>符合条件</w:t>
      </w:r>
      <w:r>
        <w:rPr>
          <w:rFonts w:hint="eastAsia" w:ascii="方正仿宋简体"/>
        </w:rPr>
        <w:t>”</w:t>
      </w:r>
      <w:r>
        <w:t>是指</w:t>
      </w:r>
      <w:r>
        <w:rPr>
          <w:rFonts w:hint="eastAsia"/>
        </w:rPr>
        <w:t>符合国家相关技术标准</w:t>
      </w:r>
      <w:r>
        <w:t>。</w:t>
      </w:r>
    </w:p>
    <w:p w14:paraId="0B10CE0C">
      <w:pPr>
        <w:overflowPunct w:val="0"/>
        <w:topLinePunct/>
        <w:adjustRightInd w:val="0"/>
        <w:snapToGrid w:val="0"/>
        <w:spacing w:line="300" w:lineRule="auto"/>
        <w:ind w:firstLine="640" w:firstLineChars="200"/>
      </w:pPr>
      <w:r>
        <w:t>（</w:t>
      </w:r>
      <w:r>
        <w:rPr>
          <w:rFonts w:hint="eastAsia"/>
        </w:rPr>
        <w:t>二</w:t>
      </w:r>
      <w:r>
        <w:t>）奖励对象须对申报材料的真实性、完整性、合法性负责。若存在材料不实、造假等行为，以及其他违法行为的，取消当年奖励资金申报资格。</w:t>
      </w:r>
    </w:p>
    <w:p w14:paraId="4AE569BB">
      <w:pPr>
        <w:overflowPunct w:val="0"/>
        <w:adjustRightInd w:val="0"/>
        <w:snapToGrid w:val="0"/>
        <w:spacing w:line="300" w:lineRule="auto"/>
        <w:ind w:firstLine="640" w:firstLineChars="200"/>
        <w:textAlignment w:val="baseline"/>
      </w:pPr>
      <w:r>
        <w:t>（</w:t>
      </w:r>
      <w:r>
        <w:rPr>
          <w:rFonts w:hint="eastAsia"/>
        </w:rPr>
        <w:t>三</w:t>
      </w:r>
      <w:r>
        <w:t>）</w:t>
      </w:r>
      <w:r>
        <w:rPr>
          <w:rFonts w:hint="eastAsia"/>
        </w:rPr>
        <w:t>本细则奖补有效期至2025年12月31日，奖补标准以申报通知为准。</w:t>
      </w:r>
      <w:r>
        <w:rPr>
          <w:bCs/>
          <w:color w:val="000000"/>
        </w:rPr>
        <w:t>2023年6月15日印发的《成都市促进新能源汽车产业发展财政奖励实施细则》（成经信办〔2023〕19号）</w:t>
      </w:r>
      <w:r>
        <w:rPr>
          <w:rFonts w:eastAsia="仿宋_GB2312"/>
          <w:bCs/>
          <w:color w:val="000000"/>
        </w:rPr>
        <w:t>不再执行</w:t>
      </w:r>
      <w:r>
        <w:t>。本细则未尽事宜由市经信局负责解释。</w:t>
      </w:r>
    </w:p>
    <w:p w14:paraId="10B1FB78"/>
    <w:sectPr>
      <w:footerReference r:id="rId3" w:type="default"/>
      <w:pgSz w:w="11906" w:h="16838"/>
      <w:pgMar w:top="2098" w:right="1474" w:bottom="1984" w:left="1587" w:header="851" w:footer="992" w:gutter="0"/>
      <w:pgNumType w:fmt="decimal"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00000000000000000"/>
    <w:charset w:val="86"/>
    <w:family w:val="script"/>
    <w:pitch w:val="default"/>
    <w:sig w:usb0="00000001" w:usb1="080E0000" w:usb2="00000000" w:usb3="00000000" w:csb0="00040000" w:csb1="00000000"/>
  </w:font>
  <w:font w:name="方正楷体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0C5C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E7AA8">
                          <w:pPr>
                            <w:pStyle w:val="6"/>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BE7AA8">
                    <w:pPr>
                      <w:pStyle w:val="6"/>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2027F"/>
    <w:multiLevelType w:val="singleLevel"/>
    <w:tmpl w:val="13F2027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108B2"/>
    <w:rsid w:val="0DE512D6"/>
    <w:rsid w:val="0EC66699"/>
    <w:rsid w:val="131A2695"/>
    <w:rsid w:val="140C27C8"/>
    <w:rsid w:val="1F0425FE"/>
    <w:rsid w:val="30964F4E"/>
    <w:rsid w:val="32AD3F0A"/>
    <w:rsid w:val="37862BC4"/>
    <w:rsid w:val="3DA02683"/>
    <w:rsid w:val="4057641B"/>
    <w:rsid w:val="4B8E50F0"/>
    <w:rsid w:val="4C15710C"/>
    <w:rsid w:val="71B906D0"/>
    <w:rsid w:val="72534367"/>
    <w:rsid w:val="73FA454D"/>
    <w:rsid w:val="75826D11"/>
    <w:rsid w:val="796F5EEC"/>
    <w:rsid w:val="7B5573A2"/>
    <w:rsid w:val="7E2108B2"/>
    <w:rsid w:val="7F0B0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简体" w:cs="Times New Roman"/>
      <w:kern w:val="2"/>
      <w:sz w:val="32"/>
      <w:szCs w:val="32"/>
      <w:lang w:val="en-US" w:eastAsia="zh-CN" w:bidi="ar-SA"/>
    </w:rPr>
  </w:style>
  <w:style w:type="paragraph" w:styleId="2">
    <w:name w:val="heading 1"/>
    <w:basedOn w:val="3"/>
    <w:next w:val="1"/>
    <w:qFormat/>
    <w:uiPriority w:val="0"/>
    <w:pPr>
      <w:overflowPunct w:val="0"/>
      <w:spacing w:line="600" w:lineRule="exact"/>
      <w:ind w:firstLine="640" w:firstLineChars="200"/>
      <w:outlineLvl w:val="0"/>
    </w:pPr>
    <w:rPr>
      <w:rFonts w:ascii="Times New Roman" w:hAnsi="Times New Roman" w:eastAsia="方正小标宋简体" w:cs="Times New Roman"/>
      <w:sz w:val="44"/>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w:basedOn w:val="1"/>
    <w:qFormat/>
    <w:uiPriority w:val="0"/>
    <w:pPr>
      <w:spacing w:afterLines="0" w:afterAutospacing="0"/>
    </w:pPr>
    <w:rPr>
      <w:rFonts w:ascii="Times New Roman" w:hAnsi="Times New Roman" w:eastAsia="方正仿宋简体" w:cs="Times New Roman"/>
      <w:szCs w:val="32"/>
    </w:rPr>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1410</Words>
  <Characters>1484</Characters>
  <Lines>0</Lines>
  <Paragraphs>0</Paragraphs>
  <TotalTime>62</TotalTime>
  <ScaleCrop>false</ScaleCrop>
  <LinksUpToDate>false</LinksUpToDate>
  <CharactersWithSpaces>1525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2025-08-14T01:56:00Z</dcterms:created>
  <dc:creator>wx</dc:creator>
  <cp:lastModifiedBy>wx</cp:lastModifiedBy>
  <cp:lastPrinted>2025-08-14T06:58:00Z</cp:lastPrinted>
  <dcterms:modified xsi:type="dcterms:W3CDTF">2025-08-15T02:44:46Z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40EF81B3A7D14C49ADFAC9E05E355A10_11</vt:lpwstr>
  </property>
  <property fmtid="{D5CDD505-2E9C-101B-9397-08002B2CF9AE}" pid="4" name="KSOTemplateDocerSaveRecord">
    <vt:lpwstr>eyJoZGlkIjoiZjgyOTczMmJhM2RkMzMwNjc1MmQyOWE2ZmJhMTc1ZTIiLCJ1c2VySWQiOiI1NzM3MzU1NTcifQ==</vt:lpwstr>
  </property>
</Properties>
</file>