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40" w:lineRule="exact"/>
        <w:ind w:left="0" w:leftChars="0" w:firstLine="0" w:firstLineChars="0"/>
        <w:rPr>
          <w:rFonts w:hint="eastAsia" w:ascii="黑体" w:hAnsi="黑体" w:eastAsia="黑体" w:cs="国标黑体"/>
          <w:sz w:val="32"/>
          <w:szCs w:val="32"/>
        </w:rPr>
      </w:pPr>
      <w:r>
        <w:rPr>
          <w:rFonts w:hint="eastAsia" w:ascii="黑体" w:hAnsi="黑体" w:eastAsia="黑体" w:cs="国标黑体"/>
          <w:sz w:val="32"/>
          <w:szCs w:val="32"/>
        </w:rPr>
        <w:t>附件1</w:t>
      </w:r>
    </w:p>
    <w:p>
      <w:pPr>
        <w:pStyle w:val="5"/>
        <w:spacing w:line="540" w:lineRule="exact"/>
        <w:rPr>
          <w:rFonts w:hint="eastAsia"/>
        </w:rPr>
      </w:pPr>
    </w:p>
    <w:p>
      <w:pPr>
        <w:adjustRightInd w:val="0"/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u w:val="single"/>
        </w:rPr>
        <w:t>XXX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项目实施方案通用模板</w:t>
      </w:r>
    </w:p>
    <w:p>
      <w:pPr>
        <w:pStyle w:val="5"/>
        <w:adjustRightInd w:val="0"/>
        <w:snapToGrid w:val="0"/>
        <w:spacing w:after="0" w:line="540" w:lineRule="exact"/>
        <w:ind w:left="0" w:leftChars="0"/>
        <w:rPr>
          <w:kern w:val="0"/>
        </w:rPr>
      </w:pPr>
    </w:p>
    <w:p>
      <w:pPr>
        <w:numPr>
          <w:ilvl w:val="0"/>
          <w:numId w:val="1"/>
        </w:numPr>
        <w:adjustRightInd w:val="0"/>
        <w:snapToGrid w:val="0"/>
        <w:spacing w:line="540" w:lineRule="exact"/>
        <w:ind w:firstLine="736" w:firstLineChars="23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基本情况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项目实施主体的成立时间、所在地、合作社成员数、家庭农场家庭成员数等基本情况，主营产业、经营规模、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联农带农等</w:t>
      </w:r>
      <w:r>
        <w:rPr>
          <w:rFonts w:hint="eastAsia" w:eastAsia="仿宋_GB2312"/>
          <w:sz w:val="32"/>
          <w:szCs w:val="32"/>
          <w:shd w:val="clear" w:color="auto" w:fill="FFFFFF"/>
        </w:rPr>
        <w:t>生产经营概况，和法人代表的年龄、学历、相关荣誉等情况。</w:t>
      </w:r>
    </w:p>
    <w:p>
      <w:pPr>
        <w:spacing w:line="540" w:lineRule="exact"/>
        <w:ind w:firstLine="640" w:firstLineChars="200"/>
        <w:rPr>
          <w:rFonts w:ascii="黑体" w:hAnsi="黑体" w:eastAsia="黑体"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Cs/>
          <w:sz w:val="32"/>
          <w:szCs w:val="32"/>
          <w:shd w:val="clear" w:color="auto" w:fill="FFFFFF"/>
        </w:rPr>
        <w:t>二、总体布局及目标任务</w:t>
      </w:r>
    </w:p>
    <w:p>
      <w:pPr>
        <w:adjustRightInd w:val="0"/>
        <w:snapToGrid w:val="0"/>
        <w:spacing w:line="540" w:lineRule="exact"/>
        <w:ind w:firstLine="736" w:firstLineChars="230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经营主体</w:t>
      </w:r>
      <w:r>
        <w:rPr>
          <w:rFonts w:hint="eastAsia" w:eastAsia="仿宋_GB2312"/>
          <w:kern w:val="0"/>
          <w:sz w:val="32"/>
          <w:szCs w:val="32"/>
        </w:rPr>
        <w:t>项目的总体思路和建设任务，包括</w:t>
      </w:r>
      <w:r>
        <w:rPr>
          <w:rFonts w:hint="eastAsia" w:eastAsia="仿宋_GB2312"/>
          <w:sz w:val="32"/>
          <w:szCs w:val="32"/>
          <w:shd w:val="clear" w:color="auto" w:fill="FFFFFF"/>
        </w:rPr>
        <w:t>项目支持培育主体的产业、环节、规模、质量等内容，</w:t>
      </w:r>
      <w:r>
        <w:rPr>
          <w:rFonts w:hint="eastAsia" w:eastAsia="仿宋_GB2312"/>
          <w:kern w:val="0"/>
          <w:sz w:val="32"/>
          <w:szCs w:val="32"/>
        </w:rPr>
        <w:t>采用量化指标表述</w:t>
      </w:r>
      <w:r>
        <w:rPr>
          <w:rFonts w:hint="eastAsia" w:eastAsia="仿宋_GB2312"/>
          <w:sz w:val="32"/>
          <w:szCs w:val="32"/>
          <w:shd w:val="clear" w:color="auto" w:fill="FFFFFF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三、项目建设内容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要逐项列明各项建设内容及相应规模（分类量化）。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四、项目实施进度计划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按自然年度进行编制。</w:t>
      </w:r>
    </w:p>
    <w:tbl>
      <w:tblPr>
        <w:tblStyle w:val="6"/>
        <w:tblW w:w="0" w:type="auto"/>
        <w:tblInd w:w="3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6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月份</w:t>
            </w:r>
          </w:p>
        </w:tc>
        <w:tc>
          <w:tcPr>
            <w:tcW w:w="691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完成工作内容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X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>X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</w:p>
        </w:tc>
        <w:tc>
          <w:tcPr>
            <w:tcW w:w="691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X</w:t>
            </w:r>
            <w:r>
              <w:rPr>
                <w:rFonts w:hint="eastAsia" w:ascii="仿宋_GB2312" w:hAnsi="宋体" w:eastAsia="仿宋_GB2312"/>
                <w:sz w:val="24"/>
              </w:rPr>
              <w:t>月前</w:t>
            </w:r>
          </w:p>
        </w:tc>
        <w:tc>
          <w:tcPr>
            <w:tcW w:w="691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X</w:t>
            </w:r>
            <w:r>
              <w:rPr>
                <w:rFonts w:hint="eastAsia" w:ascii="仿宋_GB2312" w:hAnsi="宋体" w:eastAsia="仿宋_GB2312"/>
                <w:sz w:val="24"/>
              </w:rPr>
              <w:t>月前</w:t>
            </w:r>
          </w:p>
        </w:tc>
        <w:tc>
          <w:tcPr>
            <w:tcW w:w="691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……</w:t>
            </w:r>
          </w:p>
        </w:tc>
        <w:tc>
          <w:tcPr>
            <w:tcW w:w="691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X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>X</w:t>
            </w:r>
            <w:r>
              <w:rPr>
                <w:rFonts w:hint="eastAsia" w:ascii="仿宋_GB2312" w:hAnsi="宋体" w:eastAsia="仿宋_GB2312"/>
                <w:sz w:val="24"/>
              </w:rPr>
              <w:t>月前</w:t>
            </w:r>
          </w:p>
        </w:tc>
        <w:tc>
          <w:tcPr>
            <w:tcW w:w="691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竣工验收、运营</w:t>
            </w:r>
          </w:p>
        </w:tc>
      </w:tr>
    </w:tbl>
    <w:p>
      <w:pPr>
        <w:spacing w:line="540" w:lineRule="exact"/>
        <w:ind w:firstLine="640" w:firstLineChars="200"/>
        <w:rPr>
          <w:rFonts w:hint="eastAsia" w:ascii="黑体" w:hAnsi="黑体" w:eastAsia="黑体"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Cs/>
          <w:sz w:val="32"/>
          <w:szCs w:val="32"/>
          <w:shd w:val="clear" w:color="auto" w:fill="FFFFFF"/>
        </w:rPr>
        <w:t>五、资金使用方向及标准</w:t>
      </w:r>
    </w:p>
    <w:p>
      <w:pPr>
        <w:spacing w:line="54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主要包括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投资总概算，</w:t>
      </w:r>
      <w:r>
        <w:rPr>
          <w:rFonts w:hint="eastAsia" w:eastAsia="仿宋_GB2312"/>
          <w:sz w:val="32"/>
          <w:szCs w:val="32"/>
          <w:shd w:val="clear" w:color="auto" w:fill="FFFFFF"/>
        </w:rPr>
        <w:t>资金使用方向、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资金来源及构成，补助标准等，</w:t>
      </w:r>
      <w:r>
        <w:rPr>
          <w:rFonts w:hint="eastAsia" w:eastAsia="仿宋_GB2312"/>
          <w:kern w:val="0"/>
          <w:sz w:val="32"/>
          <w:szCs w:val="32"/>
        </w:rPr>
        <w:t>分类详细估算项目投资并汇总。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050"/>
        <w:gridCol w:w="987"/>
        <w:gridCol w:w="693"/>
        <w:gridCol w:w="615"/>
        <w:gridCol w:w="984"/>
        <w:gridCol w:w="892"/>
        <w:gridCol w:w="893"/>
        <w:gridCol w:w="669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63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123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建设内容或设施设备</w:t>
            </w:r>
          </w:p>
        </w:tc>
        <w:tc>
          <w:tcPr>
            <w:tcW w:w="1055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</w:t>
            </w:r>
            <w:r>
              <w:rPr>
                <w:rFonts w:ascii="仿宋_GB2312" w:hAnsi="宋体" w:eastAsia="仿宋_GB2312"/>
                <w:sz w:val="24"/>
              </w:rPr>
              <w:t>/</w:t>
            </w:r>
            <w:r>
              <w:rPr>
                <w:rFonts w:hint="eastAsia" w:ascii="仿宋_GB2312" w:hAnsi="宋体" w:eastAsia="仿宋_GB2312"/>
                <w:sz w:val="24"/>
              </w:rPr>
              <w:t>型号</w:t>
            </w:r>
          </w:p>
        </w:tc>
        <w:tc>
          <w:tcPr>
            <w:tcW w:w="735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65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  <w:tc>
          <w:tcPr>
            <w:tcW w:w="3663" w:type="dxa"/>
            <w:gridSpan w:val="4"/>
            <w:tcBorders>
              <w:bottom w:val="nil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金额（万元）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63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3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5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35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0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小计</w:t>
            </w: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市级投入</w:t>
            </w: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县级投入</w:t>
            </w: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自筹</w:t>
            </w: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1.1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2.1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..</w:t>
            </w: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总计</w:t>
            </w:r>
          </w:p>
        </w:tc>
        <w:tc>
          <w:tcPr>
            <w:tcW w:w="112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3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5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540" w:lineRule="exact"/>
        <w:ind w:firstLine="640" w:firstLineChars="200"/>
        <w:rPr>
          <w:rFonts w:hint="eastAsia" w:ascii="国标黑体" w:hAnsi="国标黑体" w:eastAsia="国标黑体" w:cs="国标黑体"/>
          <w:bCs/>
          <w:sz w:val="32"/>
          <w:szCs w:val="32"/>
          <w:shd w:val="clear" w:color="auto" w:fill="FFFFFF"/>
        </w:rPr>
      </w:pPr>
      <w:r>
        <w:rPr>
          <w:rFonts w:hint="eastAsia" w:ascii="国标黑体" w:hAnsi="国标黑体" w:eastAsia="国标黑体" w:cs="国标黑体"/>
          <w:bCs/>
          <w:kern w:val="0"/>
          <w:sz w:val="32"/>
          <w:szCs w:val="32"/>
        </w:rPr>
        <w:t>六、</w:t>
      </w:r>
      <w:r>
        <w:rPr>
          <w:rFonts w:hint="eastAsia" w:ascii="国标黑体" w:hAnsi="国标黑体" w:eastAsia="国标黑体" w:cs="国标黑体"/>
          <w:bCs/>
          <w:sz w:val="32"/>
          <w:szCs w:val="32"/>
          <w:shd w:val="clear" w:color="auto" w:fill="FFFFFF"/>
        </w:rPr>
        <w:t>项目预期效益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主要包括项目预期经济效益、社会效益、生态效益等内容。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七、项目组织管理与运行</w:t>
      </w:r>
    </w:p>
    <w:p>
      <w:pPr>
        <w:spacing w:line="54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主要包括项目组织保障、资金监管、进度与质量监控，建成后运营维护等情况。</w:t>
      </w:r>
    </w:p>
    <w:p>
      <w:pPr>
        <w:spacing w:line="540" w:lineRule="exact"/>
        <w:ind w:firstLine="640" w:firstLineChars="200"/>
        <w:jc w:val="left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（一）组织保障（</w:t>
      </w:r>
      <w:r>
        <w:rPr>
          <w:rFonts w:hint="eastAsia" w:eastAsia="仿宋_GB2312"/>
          <w:kern w:val="0"/>
          <w:sz w:val="32"/>
          <w:szCs w:val="32"/>
        </w:rPr>
        <w:t>建设期组织管理机构与职能，项目建成后组织管理机构与职能、运行管理模式与运行机制、人员配置等</w:t>
      </w:r>
      <w:r>
        <w:rPr>
          <w:rFonts w:hint="eastAsia" w:ascii="楷体_GB2312" w:hAnsi="宋体" w:eastAsia="楷体_GB2312"/>
          <w:sz w:val="32"/>
          <w:szCs w:val="32"/>
        </w:rPr>
        <w:t>）</w:t>
      </w:r>
    </w:p>
    <w:p>
      <w:pPr>
        <w:spacing w:line="540" w:lineRule="exact"/>
        <w:ind w:firstLine="640" w:firstLineChars="200"/>
        <w:jc w:val="left"/>
        <w:rPr>
          <w:rFonts w:ascii="楷体_GB2312" w:hAnsi="宋体" w:eastAsia="楷体_GB2312"/>
          <w:bCs/>
          <w:kern w:val="0"/>
          <w:sz w:val="32"/>
          <w:szCs w:val="32"/>
        </w:rPr>
      </w:pPr>
      <w:r>
        <w:rPr>
          <w:rFonts w:hint="eastAsia" w:ascii="楷体_GB2312" w:hAnsi="宋体" w:eastAsia="楷体_GB2312"/>
          <w:bCs/>
          <w:kern w:val="0"/>
          <w:sz w:val="32"/>
          <w:szCs w:val="32"/>
        </w:rPr>
        <w:t>（二）资金监管</w:t>
      </w:r>
    </w:p>
    <w:p>
      <w:pPr>
        <w:spacing w:line="540" w:lineRule="exact"/>
        <w:ind w:firstLine="640" w:firstLineChars="200"/>
        <w:jc w:val="left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 xml:space="preserve"> 对财政资金使用的监管制度</w:t>
      </w:r>
    </w:p>
    <w:p>
      <w:pPr>
        <w:spacing w:line="540" w:lineRule="exact"/>
        <w:ind w:firstLine="640" w:firstLineChars="200"/>
        <w:jc w:val="left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2.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 xml:space="preserve"> 建设主体对资金使用的管理办法</w:t>
      </w:r>
    </w:p>
    <w:p>
      <w:pPr>
        <w:spacing w:line="540" w:lineRule="exact"/>
        <w:ind w:firstLine="640" w:firstLineChars="200"/>
        <w:jc w:val="left"/>
        <w:rPr>
          <w:rFonts w:ascii="楷体_GB2312" w:hAnsi="宋体" w:eastAsia="楷体_GB2312"/>
          <w:bCs/>
          <w:kern w:val="0"/>
          <w:sz w:val="32"/>
          <w:szCs w:val="32"/>
        </w:rPr>
      </w:pPr>
      <w:r>
        <w:rPr>
          <w:rFonts w:hint="eastAsia" w:ascii="楷体_GB2312" w:hAnsi="宋体" w:eastAsia="楷体_GB2312"/>
          <w:bCs/>
          <w:kern w:val="0"/>
          <w:sz w:val="32"/>
          <w:szCs w:val="32"/>
        </w:rPr>
        <w:t>（三）进度与质量监控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八、项目前期工作落实情况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用地、规划、环保、资金来源等要件落实情况（相关佐证材料作为附件）。</w:t>
      </w:r>
    </w:p>
    <w:p>
      <w:pPr>
        <w:adjustRightInd w:val="0"/>
        <w:snapToGrid w:val="0"/>
        <w:spacing w:line="540" w:lineRule="exact"/>
        <w:ind w:firstLine="640" w:firstLineChars="200"/>
        <w:jc w:val="left"/>
        <w:rPr>
          <w:rFonts w:hint="eastAsia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九、附件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国标黑体">
    <w:altName w:val="方正黑体_GBK"/>
    <w:panose1 w:val="02000500000000000000"/>
    <w:charset w:val="00"/>
    <w:family w:val="auto"/>
    <w:pitch w:val="default"/>
    <w:sig w:usb0="00000000" w:usb1="00000000" w:usb2="00000000" w:usb3="00000000" w:csb0="00060007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FA92C6"/>
    <w:multiLevelType w:val="singleLevel"/>
    <w:tmpl w:val="7DFA92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F51AE1"/>
    <w:rsid w:val="EDF5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line="700" w:lineRule="exact"/>
    </w:pPr>
    <w:rPr>
      <w:rFonts w:eastAsia="方正小标宋简体"/>
      <w:sz w:val="36"/>
    </w:r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</w:style>
  <w:style w:type="paragraph" w:styleId="4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2025-08-05T15:33:00Z</dcterms:created>
  <dc:creator>administrator</dc:creator>
  <cp:lastModifiedBy>administrator</cp:lastModifiedBy>
  <dcterms:modified xsi:type="dcterms:W3CDTF">2025-08-05T15:34:41Z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744B4BC710ABA10DE1B391684EC39F5E</vt:lpwstr>
  </property>
</Properties>
</file>