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附件3：</w:t>
      </w:r>
    </w:p>
    <w:tbl>
      <w:tblPr>
        <w:tblStyle w:val="4"/>
        <w:tblpPr w:leftFromText="180" w:rightFromText="180" w:vertAnchor="text" w:horzAnchor="page" w:tblpXSpec="center" w:tblpY="836"/>
        <w:tblOverlap w:val="never"/>
        <w:tblW w:w="96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451"/>
        <w:gridCol w:w="3840"/>
        <w:gridCol w:w="2184"/>
        <w:gridCol w:w="876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6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  <w:t>2026年度发展壮大农村集体经济储备项目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  <w:t>评分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bidi="ar"/>
              </w:rPr>
              <w:t>细则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（参考）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24"/>
                <w:lang w:bidi="ar"/>
              </w:rPr>
              <w:t>资格审查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主要内容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审查结果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区(市)县农业农村行政主管部门储备项目推荐报告（请示）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是否公开、公平、公正组织推荐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没有违背禁止性规定（不得用于与项目建设无关的支出，如偿还债务、购置车辆、发放人员工作补贴等；不得用于购买理财产品、支付土地租金、房屋租金、铺货等）。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对以往年度已经安排的项目，不得重复申请。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项目建设是否涉及耕地“非农化”“非粮化”问题。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评分指标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评审内容及标准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exact"/>
          <w:jc w:val="center"/>
        </w:trPr>
        <w:tc>
          <w:tcPr>
            <w:tcW w:w="14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hAnsi="宋体" w:eastAsia="黑体" w:cs="黑体"/>
                <w:color w:val="000000"/>
                <w:sz w:val="24"/>
              </w:rPr>
              <w:t>建设内容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1.项目建设内容为可以产生经营收益的集体经营性项目的，得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分，（包括：新(改、扩）建经营场所、购置生产经营所需设施设备、盘活农村集体闲置资产、开发农村集体闲置资源、经营性项目配套设施建设、以及其他可以增加集体经济收入的经营性项目）。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不符合者，本项不得分。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146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2.项目建设内容与规模具体，工程量明确、合理的，得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分。每有一处不清晰的，扣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1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项目可行性</w:t>
            </w: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1.项目现状情况（含村内产业发展情况、项目必要性、需求分析等），简述清楚，逻辑清晰、合理的，得８分。每有一处不清晰、不合理的扣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８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14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2.项目建设要素落情况（项目涉及土地、房屋、规划、自筹资金等要素落实情况及佐证材料）。所需要素全部落实的得10分，部分落实或正在落实的得6分，未落实不得分。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val="e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10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1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3.项目实施进度计划合理、阶段性计划明确，得5分。每有1处不合理、不明确的，扣1分，扣完为止。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4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资金估算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筹措</w:t>
            </w: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1.项目投资内容资金测算细化合理，工程量和造价匹配，得10分。每有一处不合理的扣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分，扣完为止。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4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2.财政资金使用内容和金额明确，得６分。每有一处不清晰的扣２分，扣完为止。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６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4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3.配套资金情况。社会资本投资、集体村民自筹资金或县级财政配套资金，每有一项得2分，总分6分。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4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4.财政资金投入能形成经营性资产，得5分，否则不得分。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4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收益机制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1.预期收益计算逻辑清晰、数据合理，有相关数据支撑或文本佐证，得８分。每有一处不清晰的扣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８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14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2.后期运营模式清晰，收益分配机制明确，收益分配比例科学合理，得6分。每有一处不清晰的扣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1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绩效目标</w:t>
            </w:r>
          </w:p>
        </w:tc>
        <w:tc>
          <w:tcPr>
            <w:tcW w:w="64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1.预期经济效益好，能为推动集体经济组织收入持续稳定增长。预期收益率≥10%，得10分；6%≤预期收益率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&lt;10%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，得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8分；4%≤预期收益率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&lt;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val="en" w:bidi="ar"/>
              </w:rPr>
              <w:t>%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,得5分；其余不得分。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1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2.预期社会效益好，有效提升乡村治理水平、促进乡村和谐善治，有效带动村民就业或村民增收，得5分。每有一处不合理的扣1分，扣完为止。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exact"/>
          <w:jc w:val="center"/>
        </w:trPr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优先支持农、林、牧、渔业产业项目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项目为设施农业（包括农、林、牧、渔业）产业发展项目，能为一产业增加值做贡献。“是”得５分，“否”不得分。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５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4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总计分值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拟纳入成熟型或成长型建议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  <w:jc w:val="center"/>
        </w:trPr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评审组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意见建议</w:t>
            </w:r>
          </w:p>
        </w:tc>
        <w:tc>
          <w:tcPr>
            <w:tcW w:w="77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评审组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成员签字</w:t>
            </w:r>
          </w:p>
        </w:tc>
        <w:tc>
          <w:tcPr>
            <w:tcW w:w="77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4560" w:hanging="4560" w:hangingChars="190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D5C83"/>
    <w:rsid w:val="38A85780"/>
    <w:rsid w:val="395D5C83"/>
    <w:rsid w:val="498D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方正仿宋简体"/>
      <w:sz w:val="32"/>
      <w:szCs w:val="32"/>
    </w:rPr>
  </w:style>
  <w:style w:type="paragraph" w:styleId="3">
    <w:name w:val="Body Text Indent 2"/>
    <w:next w:val="1"/>
    <w:qFormat/>
    <w:uiPriority w:val="0"/>
    <w:pPr>
      <w:widowControl w:val="0"/>
      <w:spacing w:after="120" w:line="480" w:lineRule="auto"/>
      <w:ind w:left="20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2025-07-31T07:10:00Z</dcterms:created>
  <dc:creator>冯学骏</dc:creator>
  <cp:lastModifiedBy>冯学骏</cp:lastModifiedBy>
  <dcterms:modified xsi:type="dcterms:W3CDTF">2025-07-31T07:10:48Z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0D78129F767F461889D45D27F7A0C090</vt:lpwstr>
  </property>
</Properties>
</file>