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C3" w:rsidRDefault="009272C3" w:rsidP="009272C3">
      <w:pPr>
        <w:spacing w:beforeLines="200" w:before="624"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成都高新区弹性负荷响应补贴政策</w:t>
      </w:r>
    </w:p>
    <w:p w:rsidR="009272C3" w:rsidRDefault="009272C3" w:rsidP="009272C3">
      <w:pPr>
        <w:spacing w:afterLines="100" w:after="312"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（征求意见稿）</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w:t>
      </w:r>
      <w:r>
        <w:rPr>
          <w:rFonts w:ascii="Times New Roman" w:eastAsia="方正仿宋_GBK" w:hAnsi="Times New Roman" w:cs="Times New Roman" w:hint="eastAsia"/>
          <w:sz w:val="32"/>
          <w:szCs w:val="32"/>
        </w:rPr>
        <w:t>进一步增强成都高新区“迎峰度夏”能源保障能力，确保高温大负荷期间电力供需平衡，根据</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成都市人民政府办公厅印发</w:t>
      </w:r>
      <w:r>
        <w:rPr>
          <w:rFonts w:ascii="Times New Roman" w:eastAsia="方正仿宋_GBK" w:hAnsi="Times New Roman" w:cs="Times New Roman"/>
          <w:sz w:val="32"/>
          <w:szCs w:val="32"/>
        </w:rPr>
        <w:t>关于进一步增强成都市电力保障能力的若干政策措施的通知》</w:t>
      </w:r>
      <w:r>
        <w:rPr>
          <w:rFonts w:ascii="Times New Roman" w:eastAsia="方正仿宋_GBK" w:hAnsi="Times New Roman" w:cs="Times New Roman" w:hint="eastAsia"/>
          <w:sz w:val="32"/>
          <w:szCs w:val="32"/>
        </w:rPr>
        <w:t>（成办</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025</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号）等相关政策规定，结合成都高新区实际，制定本政策。</w:t>
      </w:r>
    </w:p>
    <w:p w:rsidR="009272C3" w:rsidRDefault="009272C3" w:rsidP="009272C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一、虚拟电厂弹性负荷响应补贴</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对接入成都高新区虚拟电厂主动参与弹性负荷响应</w:t>
      </w:r>
      <w:r>
        <w:rPr>
          <w:rFonts w:ascii="Times New Roman" w:eastAsia="方正仿宋_GBK" w:hAnsi="Times New Roman" w:cs="Times New Roman" w:hint="eastAsia"/>
          <w:sz w:val="32"/>
          <w:szCs w:val="32"/>
        </w:rPr>
        <w:t>的企业，</w:t>
      </w:r>
      <w:r>
        <w:rPr>
          <w:rFonts w:ascii="Times New Roman" w:eastAsia="方正仿宋_GBK" w:hAnsi="Times New Roman" w:cs="Times New Roman"/>
          <w:sz w:val="32"/>
          <w:szCs w:val="32"/>
        </w:rPr>
        <w:t>未被省、市补贴覆盖的</w:t>
      </w:r>
      <w:r>
        <w:rPr>
          <w:rFonts w:ascii="Times New Roman" w:eastAsia="方正仿宋_GBK" w:hAnsi="Times New Roman" w:cs="Times New Roman" w:hint="eastAsia"/>
          <w:sz w:val="32"/>
          <w:szCs w:val="32"/>
        </w:rPr>
        <w:t>部分</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以</w:t>
      </w:r>
      <w:r>
        <w:rPr>
          <w:rFonts w:ascii="Times New Roman" w:eastAsia="方正仿宋_GBK" w:hAnsi="Times New Roman" w:cs="Times New Roman" w:hint="eastAsia"/>
          <w:sz w:val="32"/>
          <w:szCs w:val="32"/>
        </w:rPr>
        <w:t>国网高</w:t>
      </w:r>
      <w:proofErr w:type="gramEnd"/>
      <w:r>
        <w:rPr>
          <w:rFonts w:ascii="Times New Roman" w:eastAsia="方正仿宋_GBK" w:hAnsi="Times New Roman" w:cs="Times New Roman" w:hint="eastAsia"/>
          <w:sz w:val="32"/>
          <w:szCs w:val="32"/>
        </w:rPr>
        <w:t>新供电公司</w:t>
      </w:r>
      <w:r>
        <w:rPr>
          <w:rFonts w:ascii="Times New Roman" w:eastAsia="方正仿宋_GBK" w:hAnsi="Times New Roman" w:cs="Times New Roman"/>
          <w:sz w:val="32"/>
          <w:szCs w:val="32"/>
        </w:rPr>
        <w:t>核定响应数据为准，给予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千瓦时的补贴。</w:t>
      </w:r>
    </w:p>
    <w:p w:rsidR="009272C3" w:rsidRDefault="009272C3" w:rsidP="009272C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、申报条件</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（一）接入成都高新区虚拟电厂，在成都高新区虚拟电厂发布弹性负荷响应期间（以实际响应时段为准），主动参与成都高新区弹性负荷响应，且未被省、市补贴覆盖的企业。</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工业企业需满足压减用电量</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万千瓦时以下，除工业企业外的其他类型企业不作压减电量限制</w:t>
      </w:r>
      <w:r>
        <w:rPr>
          <w:rFonts w:ascii="Times New Roman" w:eastAsia="方正仿宋_GBK" w:hAnsi="Times New Roman" w:cs="Times New Roman" w:hint="eastAsia"/>
          <w:sz w:val="32"/>
          <w:szCs w:val="32"/>
        </w:rPr>
        <w:t>。</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（三）响应数据</w:t>
      </w:r>
      <w:proofErr w:type="gramStart"/>
      <w:r>
        <w:rPr>
          <w:rFonts w:ascii="Times New Roman" w:eastAsia="方正仿宋_GBK" w:hAnsi="Times New Roman" w:cs="Times New Roman" w:hint="eastAsia"/>
          <w:sz w:val="32"/>
          <w:szCs w:val="32"/>
        </w:rPr>
        <w:t>以国网高</w:t>
      </w:r>
      <w:proofErr w:type="gramEnd"/>
      <w:r>
        <w:rPr>
          <w:rFonts w:ascii="Times New Roman" w:eastAsia="方正仿宋_GBK" w:hAnsi="Times New Roman" w:cs="Times New Roman" w:hint="eastAsia"/>
          <w:sz w:val="32"/>
          <w:szCs w:val="32"/>
        </w:rPr>
        <w:t>新供电公司核定为准。</w:t>
      </w:r>
    </w:p>
    <w:p w:rsidR="009272C3" w:rsidRDefault="009272C3" w:rsidP="009272C3">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三、响应电量计算方式</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（一）基线负荷：以本年度《四川省电力需求侧市场化响应实施方案》的基线负荷计算方式为准（针对成都高新区</w:t>
      </w:r>
      <w:r>
        <w:rPr>
          <w:rFonts w:ascii="Times New Roman" w:eastAsia="方正仿宋_GBK" w:hAnsi="Times New Roman" w:cs="Times New Roman" w:hint="eastAsia"/>
          <w:sz w:val="32"/>
          <w:szCs w:val="32"/>
        </w:rPr>
        <w:lastRenderedPageBreak/>
        <w:t>内已投运并接入成都高新区虚拟电厂的储能用户的基线将按照弹性负荷响应期间的放电功率进行拟合）。</w:t>
      </w:r>
    </w:p>
    <w:p w:rsidR="009272C3" w:rsidRDefault="009272C3" w:rsidP="009272C3">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Times New Roman" w:hint="eastAsia"/>
          <w:color w:val="000000" w:themeColor="text1"/>
          <w:sz w:val="32"/>
          <w:szCs w:val="32"/>
        </w:rPr>
        <w:t>弹性负荷响应中标容量：</w:t>
      </w:r>
      <w:proofErr w:type="gramStart"/>
      <w:r>
        <w:rPr>
          <w:rFonts w:ascii="Times New Roman" w:eastAsia="方正仿宋_GBK" w:hAnsi="Times New Roman" w:cs="Times New Roman" w:hint="eastAsia"/>
          <w:color w:val="000000" w:themeColor="text1"/>
          <w:sz w:val="32"/>
          <w:szCs w:val="32"/>
        </w:rPr>
        <w:t>根据国网高</w:t>
      </w:r>
      <w:proofErr w:type="gramEnd"/>
      <w:r>
        <w:rPr>
          <w:rFonts w:ascii="Times New Roman" w:eastAsia="方正仿宋_GBK" w:hAnsi="Times New Roman" w:cs="Times New Roman" w:hint="eastAsia"/>
          <w:color w:val="000000" w:themeColor="text1"/>
          <w:sz w:val="32"/>
          <w:szCs w:val="32"/>
        </w:rPr>
        <w:t>新供电公司发布的负荷缺口与所有用户主动响应申报累计值进行判定，如用户主动响应申报累计值小于等于负荷缺口，则全量出清，申报值即为中标容量；如用户主动响应申报累计值大于负荷缺口，则会根据申报</w:t>
      </w:r>
      <w:proofErr w:type="gramStart"/>
      <w:r>
        <w:rPr>
          <w:rFonts w:ascii="Times New Roman" w:eastAsia="方正仿宋_GBK" w:hAnsi="Times New Roman" w:cs="Times New Roman" w:hint="eastAsia"/>
          <w:color w:val="000000" w:themeColor="text1"/>
          <w:sz w:val="32"/>
          <w:szCs w:val="32"/>
        </w:rPr>
        <w:t>值按照</w:t>
      </w:r>
      <w:proofErr w:type="gramEnd"/>
      <w:r>
        <w:rPr>
          <w:rFonts w:ascii="Times New Roman" w:eastAsia="方正仿宋_GBK" w:hAnsi="Times New Roman" w:cs="Times New Roman" w:hint="eastAsia"/>
          <w:color w:val="000000" w:themeColor="text1"/>
          <w:sz w:val="32"/>
          <w:szCs w:val="32"/>
        </w:rPr>
        <w:t>容量优先，时间优先的形式边际出清。</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proofErr w:type="gramStart"/>
      <w:r>
        <w:rPr>
          <w:rFonts w:ascii="Times New Roman" w:eastAsia="方正仿宋_GBK" w:hAnsi="Times New Roman" w:cs="Times New Roman" w:hint="eastAsia"/>
          <w:sz w:val="32"/>
          <w:szCs w:val="32"/>
        </w:rPr>
        <w:t>有效响应</w:t>
      </w:r>
      <w:proofErr w:type="gramEnd"/>
      <w:r>
        <w:rPr>
          <w:rFonts w:ascii="Times New Roman" w:eastAsia="方正仿宋_GBK" w:hAnsi="Times New Roman" w:cs="Times New Roman" w:hint="eastAsia"/>
          <w:sz w:val="32"/>
          <w:szCs w:val="32"/>
        </w:rPr>
        <w:t>电量：实际响应负荷（基线负荷与市电监测负荷之差）大于等于弹性负荷响应中标容量</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且小于等于弹性负荷响应中标容量</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的部分。以用电户号为单元、按小时开展</w:t>
      </w:r>
      <w:r w:rsidR="00716D89">
        <w:rPr>
          <w:rFonts w:ascii="Times New Roman" w:eastAsia="方正仿宋_GBK" w:hAnsi="Times New Roman" w:cs="Times New Roman" w:hint="eastAsia"/>
          <w:sz w:val="32"/>
          <w:szCs w:val="32"/>
        </w:rPr>
        <w:t>核算</w:t>
      </w:r>
      <w:r>
        <w:rPr>
          <w:rFonts w:ascii="Times New Roman" w:eastAsia="方正仿宋_GBK" w:hAnsi="Times New Roman" w:cs="Times New Roman" w:hint="eastAsia"/>
          <w:sz w:val="32"/>
          <w:szCs w:val="32"/>
        </w:rPr>
        <w:t>，数据以国网高新供电公司审核认定结果为准。</w:t>
      </w:r>
    </w:p>
    <w:p w:rsidR="009272C3" w:rsidRDefault="009272C3" w:rsidP="009272C3">
      <w:pPr>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若实际响应负荷低于弹性负荷响应中标容量的</w:t>
      </w:r>
      <w:r>
        <w:rPr>
          <w:rFonts w:ascii="Times New Roman" w:eastAsia="方正仿宋_GBK" w:hAnsi="Times New Roman" w:cs="Times New Roman" w:hint="eastAsia"/>
          <w:color w:val="000000" w:themeColor="text1"/>
          <w:sz w:val="32"/>
          <w:szCs w:val="32"/>
        </w:rPr>
        <w:t>80%</w:t>
      </w:r>
      <w:r>
        <w:rPr>
          <w:rFonts w:ascii="Times New Roman" w:eastAsia="方正仿宋_GBK" w:hAnsi="Times New Roman" w:cs="Times New Roman" w:hint="eastAsia"/>
          <w:color w:val="000000" w:themeColor="text1"/>
          <w:sz w:val="32"/>
          <w:szCs w:val="32"/>
        </w:rPr>
        <w:t>，不予纳入补贴范围；若实际响应负荷高于弹性负荷响应中标容量的</w:t>
      </w:r>
      <w:r>
        <w:rPr>
          <w:rFonts w:ascii="Times New Roman" w:eastAsia="方正仿宋_GBK" w:hAnsi="Times New Roman" w:cs="Times New Roman" w:hint="eastAsia"/>
          <w:color w:val="000000" w:themeColor="text1"/>
          <w:sz w:val="32"/>
          <w:szCs w:val="32"/>
        </w:rPr>
        <w:t>100%</w:t>
      </w:r>
      <w:r>
        <w:rPr>
          <w:rFonts w:ascii="Times New Roman" w:eastAsia="方正仿宋_GBK" w:hAnsi="Times New Roman" w:cs="Times New Roman" w:hint="eastAsia"/>
          <w:color w:val="000000" w:themeColor="text1"/>
          <w:sz w:val="32"/>
          <w:szCs w:val="32"/>
        </w:rPr>
        <w:t>，补贴数据为弹性负荷响应中标容量。</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w:t>
      </w:r>
      <w:proofErr w:type="gramStart"/>
      <w:r>
        <w:rPr>
          <w:rFonts w:ascii="Times New Roman" w:eastAsia="方正仿宋_GBK" w:hAnsi="Times New Roman" w:cs="Times New Roman" w:hint="eastAsia"/>
          <w:sz w:val="32"/>
          <w:szCs w:val="32"/>
        </w:rPr>
        <w:t>有效响应</w:t>
      </w:r>
      <w:proofErr w:type="gramEnd"/>
      <w:r>
        <w:rPr>
          <w:rFonts w:ascii="Times New Roman" w:eastAsia="方正仿宋_GBK" w:hAnsi="Times New Roman" w:cs="Times New Roman" w:hint="eastAsia"/>
          <w:sz w:val="32"/>
          <w:szCs w:val="32"/>
        </w:rPr>
        <w:t>电量总和：本年度弹性负荷响应发布期间各时段审核认定</w:t>
      </w:r>
      <w:proofErr w:type="gramStart"/>
      <w:r>
        <w:rPr>
          <w:rFonts w:ascii="Times New Roman" w:eastAsia="方正仿宋_GBK" w:hAnsi="Times New Roman" w:cs="Times New Roman" w:hint="eastAsia"/>
          <w:sz w:val="32"/>
          <w:szCs w:val="32"/>
        </w:rPr>
        <w:t>有效响应</w:t>
      </w:r>
      <w:proofErr w:type="gramEnd"/>
      <w:r>
        <w:rPr>
          <w:rFonts w:ascii="Times New Roman" w:eastAsia="方正仿宋_GBK" w:hAnsi="Times New Roman" w:cs="Times New Roman" w:hint="eastAsia"/>
          <w:sz w:val="32"/>
          <w:szCs w:val="32"/>
        </w:rPr>
        <w:t>电量之</w:t>
      </w:r>
      <w:proofErr w:type="gramStart"/>
      <w:r>
        <w:rPr>
          <w:rFonts w:ascii="Times New Roman" w:eastAsia="方正仿宋_GBK" w:hAnsi="Times New Roman" w:cs="Times New Roman" w:hint="eastAsia"/>
          <w:sz w:val="32"/>
          <w:szCs w:val="32"/>
        </w:rPr>
        <w:t>和</w:t>
      </w:r>
      <w:proofErr w:type="gramEnd"/>
      <w:r>
        <w:rPr>
          <w:rFonts w:ascii="Times New Roman" w:eastAsia="方正仿宋_GBK" w:hAnsi="Times New Roman" w:cs="Times New Roman" w:hint="eastAsia"/>
          <w:sz w:val="32"/>
          <w:szCs w:val="32"/>
        </w:rPr>
        <w:t>。</w:t>
      </w:r>
    </w:p>
    <w:p w:rsidR="009272C3" w:rsidRDefault="009272C3" w:rsidP="009272C3">
      <w:pPr>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四、执行规程</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本政策</w:t>
      </w:r>
      <w:proofErr w:type="gramStart"/>
      <w:r>
        <w:rPr>
          <w:rFonts w:ascii="Times New Roman" w:eastAsia="方正仿宋_GBK" w:hAnsi="Times New Roman" w:cs="Times New Roman" w:hint="eastAsia"/>
          <w:sz w:val="32"/>
          <w:szCs w:val="32"/>
        </w:rPr>
        <w:t>为免申即享</w:t>
      </w:r>
      <w:proofErr w:type="gramEnd"/>
      <w:r>
        <w:rPr>
          <w:rFonts w:ascii="Times New Roman" w:eastAsia="方正仿宋_GBK" w:hAnsi="Times New Roman" w:cs="Times New Roman" w:hint="eastAsia"/>
          <w:sz w:val="32"/>
          <w:szCs w:val="32"/>
        </w:rPr>
        <w:t>项目，由成都高新区发展</w:t>
      </w:r>
      <w:proofErr w:type="gramStart"/>
      <w:r>
        <w:rPr>
          <w:rFonts w:ascii="Times New Roman" w:eastAsia="方正仿宋_GBK" w:hAnsi="Times New Roman" w:cs="Times New Roman" w:hint="eastAsia"/>
          <w:sz w:val="32"/>
          <w:szCs w:val="32"/>
        </w:rPr>
        <w:t>改革局</w:t>
      </w:r>
      <w:proofErr w:type="gramEnd"/>
      <w:r>
        <w:rPr>
          <w:rFonts w:ascii="Times New Roman" w:eastAsia="方正仿宋_GBK" w:hAnsi="Times New Roman" w:cs="Times New Roman" w:hint="eastAsia"/>
          <w:sz w:val="32"/>
          <w:szCs w:val="32"/>
        </w:rPr>
        <w:t>及各政策执行单位按照政策支持对象、支持标准等规定，确定</w:t>
      </w:r>
      <w:proofErr w:type="gramStart"/>
      <w:r>
        <w:rPr>
          <w:rFonts w:ascii="Times New Roman" w:eastAsia="方正仿宋_GBK" w:hAnsi="Times New Roman" w:cs="Times New Roman" w:hint="eastAsia"/>
          <w:sz w:val="32"/>
          <w:szCs w:val="32"/>
        </w:rPr>
        <w:t>奖补企业</w:t>
      </w:r>
      <w:proofErr w:type="gramEnd"/>
      <w:r>
        <w:rPr>
          <w:rFonts w:ascii="Times New Roman" w:eastAsia="方正仿宋_GBK" w:hAnsi="Times New Roman" w:cs="Times New Roman" w:hint="eastAsia"/>
          <w:sz w:val="32"/>
          <w:szCs w:val="32"/>
        </w:rPr>
        <w:t>名单后直接</w:t>
      </w:r>
      <w:proofErr w:type="gramStart"/>
      <w:r>
        <w:rPr>
          <w:rFonts w:ascii="Times New Roman" w:eastAsia="方正仿宋_GBK" w:hAnsi="Times New Roman" w:cs="Times New Roman" w:hint="eastAsia"/>
          <w:sz w:val="32"/>
          <w:szCs w:val="32"/>
        </w:rPr>
        <w:t>拨付奖补资金</w:t>
      </w:r>
      <w:proofErr w:type="gramEnd"/>
      <w:r>
        <w:rPr>
          <w:rFonts w:ascii="Times New Roman" w:eastAsia="方正仿宋_GBK" w:hAnsi="Times New Roman" w:cs="Times New Roman" w:hint="eastAsia"/>
          <w:sz w:val="32"/>
          <w:szCs w:val="32"/>
        </w:rPr>
        <w:t>，相关流程按《成都高新区政策“免申即享”工作机制（试行）》执行。</w:t>
      </w:r>
    </w:p>
    <w:p w:rsidR="009272C3" w:rsidRDefault="009272C3" w:rsidP="009272C3">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五</w:t>
      </w:r>
      <w:r>
        <w:rPr>
          <w:rFonts w:ascii="Times New Roman" w:eastAsia="方正黑体_GBK" w:hAnsi="Times New Roman" w:cs="Times New Roman"/>
          <w:sz w:val="32"/>
          <w:szCs w:val="32"/>
        </w:rPr>
        <w:t>、有关说明</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企业在成都高新区范围内</w:t>
      </w:r>
      <w:r>
        <w:rPr>
          <w:rFonts w:ascii="Times New Roman" w:eastAsia="方正仿宋_GBK" w:hAnsi="Times New Roman" w:cs="Times New Roman"/>
          <w:sz w:val="32"/>
          <w:szCs w:val="32"/>
        </w:rPr>
        <w:t>拥有多家门店、分支机构、电力户号的，统一按照一家单位补贴。</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二</w:t>
      </w:r>
      <w:r>
        <w:rPr>
          <w:rFonts w:ascii="Times New Roman" w:eastAsia="方正仿宋_GBK" w:hAnsi="Times New Roman" w:cs="Times New Roman"/>
          <w:sz w:val="32"/>
          <w:szCs w:val="32"/>
        </w:rPr>
        <w:t>）发展改革局、各相关行业主管部门及各街道办共同实施专项资金的管理和监督，</w:t>
      </w:r>
      <w:r>
        <w:rPr>
          <w:rFonts w:ascii="Times New Roman" w:eastAsia="方正仿宋_GBK" w:hAnsi="Times New Roman" w:cs="Times New Roman" w:hint="eastAsia"/>
          <w:sz w:val="32"/>
          <w:szCs w:val="32"/>
        </w:rPr>
        <w:t>配合财政部门、审计部门和监察机关对资金使用和管理进行监督检查，</w:t>
      </w:r>
      <w:r>
        <w:rPr>
          <w:rFonts w:ascii="Times New Roman" w:eastAsia="方正仿宋_GBK" w:hAnsi="Times New Roman" w:cs="Times New Roman"/>
          <w:sz w:val="32"/>
          <w:szCs w:val="32"/>
        </w:rPr>
        <w:t>并按照预算绩效管理的相关要</w:t>
      </w:r>
      <w:bookmarkStart w:id="0" w:name="_GoBack"/>
      <w:bookmarkEnd w:id="0"/>
      <w:r>
        <w:rPr>
          <w:rFonts w:ascii="Times New Roman" w:eastAsia="方正仿宋_GBK" w:hAnsi="Times New Roman" w:cs="Times New Roman"/>
          <w:sz w:val="32"/>
          <w:szCs w:val="32"/>
        </w:rPr>
        <w:t>求开展绩效评价工作。</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（三）本政策实行预算管理和总额控制，各未尽事宜和争议事项，由成都高新区发展</w:t>
      </w:r>
      <w:proofErr w:type="gramStart"/>
      <w:r>
        <w:rPr>
          <w:rFonts w:ascii="Times New Roman" w:eastAsia="方正仿宋_GBK" w:hAnsi="Times New Roman" w:cs="Times New Roman" w:hint="eastAsia"/>
          <w:sz w:val="32"/>
          <w:szCs w:val="32"/>
        </w:rPr>
        <w:t>改革局</w:t>
      </w:r>
      <w:proofErr w:type="gramEnd"/>
      <w:r>
        <w:rPr>
          <w:rFonts w:ascii="Times New Roman" w:eastAsia="方正仿宋_GBK" w:hAnsi="Times New Roman" w:cs="Times New Roman" w:hint="eastAsia"/>
          <w:sz w:val="32"/>
          <w:szCs w:val="32"/>
        </w:rPr>
        <w:t>会同相关行业主管部门及各街道办等相关单位负责解释。</w:t>
      </w:r>
    </w:p>
    <w:p w:rsidR="009272C3" w:rsidRDefault="009272C3" w:rsidP="009272C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四</w:t>
      </w:r>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政策自印发之日起施行，有效期至</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日。执行期间，国家、省、市相关政策措施调整，从其规定。</w:t>
      </w:r>
    </w:p>
    <w:p w:rsidR="003466F3" w:rsidRPr="009272C3" w:rsidRDefault="003466F3"/>
    <w:sectPr w:rsidR="003466F3" w:rsidRPr="009272C3" w:rsidSect="003112ED">
      <w:footerReference w:type="default" r:id="rId6"/>
      <w:pgSz w:w="11906" w:h="16838"/>
      <w:pgMar w:top="1440" w:right="1800" w:bottom="1440" w:left="1800"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9B" w:rsidRDefault="00C7149B" w:rsidP="003112ED">
      <w:r>
        <w:separator/>
      </w:r>
    </w:p>
  </w:endnote>
  <w:endnote w:type="continuationSeparator" w:id="0">
    <w:p w:rsidR="00C7149B" w:rsidRDefault="00C7149B" w:rsidP="0031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91640"/>
      <w:docPartObj>
        <w:docPartGallery w:val="Page Numbers (Bottom of Page)"/>
        <w:docPartUnique/>
      </w:docPartObj>
    </w:sdtPr>
    <w:sdtEndPr>
      <w:rPr>
        <w:rFonts w:ascii="宋体" w:eastAsia="宋体" w:hAnsi="宋体"/>
        <w:sz w:val="24"/>
        <w:szCs w:val="24"/>
      </w:rPr>
    </w:sdtEndPr>
    <w:sdtContent>
      <w:p w:rsidR="003112ED" w:rsidRPr="003112ED" w:rsidRDefault="003112ED">
        <w:pPr>
          <w:pStyle w:val="a5"/>
          <w:jc w:val="center"/>
          <w:rPr>
            <w:rFonts w:ascii="宋体" w:eastAsia="宋体" w:hAnsi="宋体"/>
            <w:sz w:val="24"/>
            <w:szCs w:val="24"/>
          </w:rPr>
        </w:pPr>
        <w:r w:rsidRPr="003112ED">
          <w:rPr>
            <w:rFonts w:ascii="宋体" w:eastAsia="宋体" w:hAnsi="宋体"/>
            <w:sz w:val="24"/>
            <w:szCs w:val="24"/>
          </w:rPr>
          <w:fldChar w:fldCharType="begin"/>
        </w:r>
        <w:r w:rsidRPr="003112ED">
          <w:rPr>
            <w:rFonts w:ascii="宋体" w:eastAsia="宋体" w:hAnsi="宋体"/>
            <w:sz w:val="24"/>
            <w:szCs w:val="24"/>
          </w:rPr>
          <w:instrText>PAGE   \* MERGEFORMAT</w:instrText>
        </w:r>
        <w:r w:rsidRPr="003112ED">
          <w:rPr>
            <w:rFonts w:ascii="宋体" w:eastAsia="宋体" w:hAnsi="宋体"/>
            <w:sz w:val="24"/>
            <w:szCs w:val="24"/>
          </w:rPr>
          <w:fldChar w:fldCharType="separate"/>
        </w:r>
        <w:r w:rsidR="006F1A20" w:rsidRPr="006F1A20">
          <w:rPr>
            <w:rFonts w:ascii="宋体" w:eastAsia="宋体" w:hAnsi="宋体"/>
            <w:noProof/>
            <w:sz w:val="24"/>
            <w:szCs w:val="24"/>
            <w:lang w:val="zh-CN"/>
          </w:rPr>
          <w:t>3</w:t>
        </w:r>
        <w:r w:rsidRPr="003112ED">
          <w:rPr>
            <w:rFonts w:ascii="宋体" w:eastAsia="宋体" w:hAnsi="宋体"/>
            <w:sz w:val="24"/>
            <w:szCs w:val="24"/>
          </w:rPr>
          <w:fldChar w:fldCharType="end"/>
        </w:r>
      </w:p>
    </w:sdtContent>
  </w:sdt>
  <w:p w:rsidR="003112ED" w:rsidRDefault="00311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9B" w:rsidRDefault="00C7149B" w:rsidP="003112ED">
      <w:r>
        <w:separator/>
      </w:r>
    </w:p>
  </w:footnote>
  <w:footnote w:type="continuationSeparator" w:id="0">
    <w:p w:rsidR="00C7149B" w:rsidRDefault="00C7149B" w:rsidP="00311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3"/>
    <w:rsid w:val="003112ED"/>
    <w:rsid w:val="003466F3"/>
    <w:rsid w:val="0044243C"/>
    <w:rsid w:val="006F1A20"/>
    <w:rsid w:val="00716D89"/>
    <w:rsid w:val="009272C3"/>
    <w:rsid w:val="00C7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8A15"/>
  <w15:chartTrackingRefBased/>
  <w15:docId w15:val="{48A7929D-DDE3-452C-AAF7-99103FD4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2ED"/>
    <w:rPr>
      <w:sz w:val="18"/>
      <w:szCs w:val="18"/>
    </w:rPr>
  </w:style>
  <w:style w:type="paragraph" w:styleId="a5">
    <w:name w:val="footer"/>
    <w:basedOn w:val="a"/>
    <w:link w:val="a6"/>
    <w:uiPriority w:val="99"/>
    <w:unhideWhenUsed/>
    <w:rsid w:val="003112ED"/>
    <w:pPr>
      <w:tabs>
        <w:tab w:val="center" w:pos="4153"/>
        <w:tab w:val="right" w:pos="8306"/>
      </w:tabs>
      <w:snapToGrid w:val="0"/>
      <w:jc w:val="left"/>
    </w:pPr>
    <w:rPr>
      <w:sz w:val="18"/>
      <w:szCs w:val="18"/>
    </w:rPr>
  </w:style>
  <w:style w:type="character" w:customStyle="1" w:styleId="a6">
    <w:name w:val="页脚 字符"/>
    <w:basedOn w:val="a0"/>
    <w:link w:val="a5"/>
    <w:uiPriority w:val="99"/>
    <w:rsid w:val="003112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2025-06-05T03:27:00Z</dcterms:created>
  <dcterms:modified xsi:type="dcterms:W3CDTF">2025-06-05T05:33:00Z</dcterms:modified>
</cp:coreProperties>
</file>