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textAlignment w:val="auto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附件3</w:t>
      </w:r>
    </w:p>
    <w:p>
      <w:pPr>
        <w:pStyle w:val="2"/>
        <w:rPr>
          <w:rFonts w:hint="eastAsia"/>
        </w:rPr>
      </w:pPr>
    </w:p>
    <w:p>
      <w:pPr>
        <w:spacing w:line="590" w:lineRule="exact"/>
        <w:jc w:val="center"/>
        <w:textAlignment w:val="auto"/>
        <w:rPr>
          <w:rFonts w:eastAsia="方正小标宋简体"/>
          <w:w w:val="90"/>
          <w:sz w:val="44"/>
          <w:szCs w:val="44"/>
        </w:rPr>
      </w:pPr>
      <w:bookmarkStart w:id="0" w:name="_GoBack"/>
      <w:r>
        <w:rPr>
          <w:rFonts w:eastAsia="方正小标宋简体"/>
          <w:w w:val="90"/>
          <w:sz w:val="44"/>
          <w:szCs w:val="44"/>
        </w:rPr>
        <w:t>成都市</w:t>
      </w:r>
      <w:r>
        <w:rPr>
          <w:rFonts w:hint="eastAsia" w:ascii="方正小标宋简体" w:hAnsi="黑体" w:eastAsia="方正小标宋简体" w:cs="仿宋_GB2312"/>
          <w:color w:val="auto"/>
          <w:sz w:val="44"/>
          <w:szCs w:val="44"/>
          <w:lang w:val="en-US" w:eastAsia="zh-CN"/>
        </w:rPr>
        <w:t>2025年</w:t>
      </w:r>
      <w:r>
        <w:rPr>
          <w:rFonts w:eastAsia="方正小标宋简体"/>
          <w:w w:val="90"/>
          <w:sz w:val="44"/>
          <w:szCs w:val="44"/>
        </w:rPr>
        <w:t>蔬菜（含育苗）生产设施改造</w:t>
      </w:r>
    </w:p>
    <w:p>
      <w:pPr>
        <w:spacing w:line="590" w:lineRule="exact"/>
        <w:jc w:val="center"/>
        <w:textAlignment w:val="auto"/>
        <w:rPr>
          <w:rFonts w:eastAsia="方正小标宋简体"/>
          <w:w w:val="90"/>
          <w:sz w:val="44"/>
          <w:szCs w:val="44"/>
        </w:rPr>
      </w:pPr>
      <w:r>
        <w:rPr>
          <w:rFonts w:eastAsia="方正小标宋简体"/>
          <w:w w:val="90"/>
          <w:sz w:val="44"/>
          <w:szCs w:val="44"/>
        </w:rPr>
        <w:t>提升项目</w:t>
      </w:r>
    </w:p>
    <w:p>
      <w:pPr>
        <w:spacing w:line="240" w:lineRule="auto"/>
        <w:jc w:val="center"/>
        <w:rPr>
          <w:rFonts w:hint="eastAsia" w:eastAsia="方正小标宋简体"/>
          <w:sz w:val="48"/>
          <w:szCs w:val="48"/>
        </w:rPr>
      </w:pPr>
    </w:p>
    <w:p>
      <w:pPr>
        <w:adjustRightInd/>
        <w:spacing w:line="960" w:lineRule="exact"/>
        <w:jc w:val="center"/>
        <w:textAlignment w:val="auto"/>
        <w:rPr>
          <w:rFonts w:hint="eastAsia" w:eastAsia="方正小标宋简体"/>
          <w:w w:val="90"/>
          <w:kern w:val="18"/>
          <w:sz w:val="84"/>
          <w:szCs w:val="84"/>
        </w:rPr>
      </w:pPr>
      <w:r>
        <w:rPr>
          <w:rFonts w:hint="eastAsia" w:eastAsia="方正小标宋简体"/>
          <w:w w:val="90"/>
          <w:kern w:val="18"/>
          <w:sz w:val="84"/>
          <w:szCs w:val="84"/>
        </w:rPr>
        <w:t>储</w:t>
      </w:r>
    </w:p>
    <w:p>
      <w:pPr>
        <w:adjustRightInd/>
        <w:spacing w:line="960" w:lineRule="exact"/>
        <w:jc w:val="center"/>
        <w:textAlignment w:val="auto"/>
        <w:rPr>
          <w:rFonts w:hint="eastAsia" w:eastAsia="方正小标宋简体"/>
          <w:kern w:val="18"/>
          <w:sz w:val="84"/>
          <w:szCs w:val="84"/>
        </w:rPr>
      </w:pPr>
      <w:r>
        <w:rPr>
          <w:rFonts w:hint="eastAsia" w:eastAsia="方正小标宋简体"/>
          <w:w w:val="90"/>
          <w:kern w:val="18"/>
          <w:sz w:val="84"/>
          <w:szCs w:val="84"/>
        </w:rPr>
        <w:t>备</w:t>
      </w:r>
    </w:p>
    <w:p>
      <w:pPr>
        <w:adjustRightInd/>
        <w:spacing w:line="960" w:lineRule="exact"/>
        <w:jc w:val="center"/>
        <w:textAlignment w:val="auto"/>
        <w:rPr>
          <w:rFonts w:hint="eastAsia" w:eastAsia="方正小标宋简体"/>
          <w:kern w:val="18"/>
          <w:sz w:val="84"/>
          <w:szCs w:val="84"/>
        </w:rPr>
      </w:pPr>
      <w:r>
        <w:rPr>
          <w:rFonts w:hint="eastAsia" w:eastAsia="方正小标宋简体"/>
          <w:kern w:val="18"/>
          <w:sz w:val="84"/>
          <w:szCs w:val="84"/>
        </w:rPr>
        <w:t>申</w:t>
      </w:r>
    </w:p>
    <w:p>
      <w:pPr>
        <w:adjustRightInd/>
        <w:spacing w:line="960" w:lineRule="exact"/>
        <w:jc w:val="center"/>
        <w:textAlignment w:val="auto"/>
        <w:rPr>
          <w:rFonts w:hint="eastAsia" w:eastAsia="方正小标宋简体"/>
          <w:kern w:val="18"/>
          <w:sz w:val="84"/>
          <w:szCs w:val="84"/>
        </w:rPr>
      </w:pPr>
      <w:r>
        <w:rPr>
          <w:rFonts w:hint="eastAsia" w:eastAsia="方正小标宋简体"/>
          <w:kern w:val="18"/>
          <w:sz w:val="84"/>
          <w:szCs w:val="84"/>
        </w:rPr>
        <w:t>报</w:t>
      </w:r>
    </w:p>
    <w:p>
      <w:pPr>
        <w:adjustRightInd/>
        <w:spacing w:line="960" w:lineRule="exact"/>
        <w:jc w:val="center"/>
        <w:textAlignment w:val="auto"/>
        <w:rPr>
          <w:rFonts w:eastAsia="方正小标宋简体"/>
          <w:sz w:val="84"/>
          <w:szCs w:val="84"/>
        </w:rPr>
      </w:pPr>
      <w:r>
        <w:rPr>
          <w:rFonts w:eastAsia="方正小标宋简体"/>
          <w:kern w:val="18"/>
          <w:sz w:val="84"/>
          <w:szCs w:val="84"/>
        </w:rPr>
        <w:t>书</w:t>
      </w:r>
    </w:p>
    <w:bookmarkEnd w:id="0"/>
    <w:p>
      <w:pPr>
        <w:pStyle w:val="5"/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5"/>
        <w:jc w:val="center"/>
        <w:rPr>
          <w:rFonts w:hint="eastAsia" w:ascii="楷体_GB2312" w:hAnsi="黑体" w:eastAsia="楷体_GB2312" w:cs="黑体"/>
          <w:sz w:val="32"/>
          <w:szCs w:val="32"/>
        </w:rPr>
      </w:pPr>
      <w:r>
        <w:rPr>
          <w:rFonts w:hint="eastAsia" w:ascii="楷体_GB2312" w:hAnsi="黑体" w:eastAsia="楷体_GB2312" w:cs="黑体"/>
          <w:sz w:val="32"/>
          <w:szCs w:val="32"/>
        </w:rPr>
        <w:t>（</w:t>
      </w:r>
      <w:r>
        <w:rPr>
          <w:rFonts w:hint="eastAsia" w:ascii="楷体_GB2312" w:hAnsi="黑体" w:eastAsia="楷体_GB2312" w:cs="黑体"/>
          <w:sz w:val="32"/>
          <w:szCs w:val="32"/>
          <w:u w:val="single"/>
        </w:rPr>
        <w:t xml:space="preserve">    </w:t>
      </w:r>
      <w:r>
        <w:rPr>
          <w:rFonts w:hint="eastAsia" w:ascii="楷体_GB2312" w:hAnsi="黑体" w:eastAsia="楷体_GB2312" w:cs="黑体"/>
          <w:sz w:val="32"/>
          <w:szCs w:val="32"/>
        </w:rPr>
        <w:t>年度）</w:t>
      </w:r>
    </w:p>
    <w:p>
      <w:pPr>
        <w:spacing w:line="579" w:lineRule="exact"/>
        <w:jc w:val="center"/>
      </w:pPr>
    </w:p>
    <w:p>
      <w:pPr>
        <w:spacing w:line="579" w:lineRule="exact"/>
        <w:ind w:firstLine="640" w:firstLineChars="200"/>
        <w:rPr>
          <w:rFonts w:hint="eastAsia" w:ascii="楷体_GB2312" w:hAnsi="方正楷体_GBK" w:eastAsia="楷体_GB2312" w:cs="方正楷体_GBK"/>
          <w:sz w:val="32"/>
          <w:szCs w:val="32"/>
        </w:rPr>
      </w:pPr>
      <w:r>
        <w:rPr>
          <w:rFonts w:hint="eastAsia" w:ascii="楷体_GB2312" w:hAnsi="方正楷体_GBK" w:eastAsia="楷体_GB2312" w:cs="方正楷体_GBK"/>
          <w:sz w:val="32"/>
          <w:szCs w:val="32"/>
        </w:rPr>
        <w:t>项目名称：</w:t>
      </w:r>
      <w:r>
        <w:rPr>
          <w:rFonts w:hint="eastAsia" w:ascii="楷体_GB2312" w:hAnsi="方正楷体_GBK" w:eastAsia="楷体_GB2312" w:cs="方正楷体_GBK"/>
          <w:sz w:val="32"/>
          <w:szCs w:val="32"/>
          <w:u w:val="single"/>
        </w:rPr>
        <w:t xml:space="preserve">                                  </w:t>
      </w:r>
    </w:p>
    <w:p>
      <w:pPr>
        <w:spacing w:line="579" w:lineRule="exact"/>
        <w:ind w:firstLine="640" w:firstLineChars="200"/>
        <w:rPr>
          <w:rFonts w:hint="eastAsia" w:ascii="楷体_GB2312" w:hAnsi="方正楷体_GBK" w:eastAsia="楷体_GB2312" w:cs="方正楷体_GBK"/>
          <w:sz w:val="32"/>
          <w:szCs w:val="32"/>
        </w:rPr>
      </w:pPr>
      <w:r>
        <w:rPr>
          <w:rFonts w:hint="eastAsia" w:ascii="楷体_GB2312" w:hAnsi="方正楷体_GBK" w:eastAsia="楷体_GB2312" w:cs="方正楷体_GBK"/>
          <w:sz w:val="32"/>
          <w:szCs w:val="32"/>
        </w:rPr>
        <w:t>申报单位（公章）：</w:t>
      </w:r>
      <w:r>
        <w:rPr>
          <w:rFonts w:hint="eastAsia" w:ascii="楷体_GB2312" w:hAnsi="方正楷体_GBK" w:eastAsia="楷体_GB2312" w:cs="方正楷体_GBK"/>
          <w:sz w:val="32"/>
          <w:szCs w:val="32"/>
          <w:u w:val="single"/>
        </w:rPr>
        <w:t xml:space="preserve">                          </w:t>
      </w:r>
    </w:p>
    <w:p>
      <w:pPr>
        <w:spacing w:line="579" w:lineRule="exact"/>
        <w:ind w:firstLine="640" w:firstLineChars="200"/>
        <w:rPr>
          <w:rFonts w:hint="eastAsia" w:ascii="楷体_GB2312" w:hAnsi="方正楷体_GBK" w:eastAsia="楷体_GB2312" w:cs="方正楷体_GBK"/>
          <w:sz w:val="32"/>
          <w:szCs w:val="32"/>
        </w:rPr>
      </w:pPr>
      <w:r>
        <w:rPr>
          <w:rFonts w:hint="eastAsia" w:ascii="楷体_GB2312" w:hAnsi="方正楷体_GBK" w:eastAsia="楷体_GB2312" w:cs="方正楷体_GBK"/>
          <w:sz w:val="32"/>
          <w:szCs w:val="32"/>
        </w:rPr>
        <w:t>县级主管单位：</w:t>
      </w:r>
      <w:r>
        <w:rPr>
          <w:rFonts w:hint="eastAsia" w:ascii="楷体_GB2312" w:hAnsi="方正楷体_GBK" w:eastAsia="楷体_GB2312" w:cs="方正楷体_GBK"/>
          <w:sz w:val="32"/>
          <w:szCs w:val="32"/>
          <w:u w:val="single"/>
        </w:rPr>
        <w:t xml:space="preserve">                              </w:t>
      </w:r>
    </w:p>
    <w:p>
      <w:pPr>
        <w:spacing w:line="579" w:lineRule="exact"/>
        <w:ind w:firstLine="640" w:firstLineChars="200"/>
        <w:rPr>
          <w:rFonts w:hint="eastAsia" w:ascii="楷体_GB2312" w:hAnsi="方正楷体_GBK" w:eastAsia="楷体_GB2312" w:cs="方正楷体_GBK"/>
          <w:sz w:val="32"/>
          <w:szCs w:val="32"/>
          <w:u w:val="single"/>
        </w:rPr>
      </w:pPr>
      <w:r>
        <w:rPr>
          <w:rFonts w:hint="eastAsia" w:ascii="楷体_GB2312" w:hAnsi="方正楷体_GBK" w:eastAsia="楷体_GB2312" w:cs="方正楷体_GBK"/>
          <w:sz w:val="32"/>
          <w:szCs w:val="32"/>
        </w:rPr>
        <w:t>联 系 人：</w:t>
      </w:r>
      <w:r>
        <w:rPr>
          <w:rFonts w:hint="eastAsia" w:ascii="楷体_GB2312" w:hAnsi="方正楷体_GBK" w:eastAsia="楷体_GB2312" w:cs="方正楷体_GBK"/>
          <w:sz w:val="32"/>
          <w:szCs w:val="32"/>
          <w:u w:val="single"/>
        </w:rPr>
        <w:t xml:space="preserve">                 </w:t>
      </w:r>
      <w:r>
        <w:rPr>
          <w:rFonts w:hint="eastAsia" w:ascii="楷体_GB2312" w:hAnsi="方正楷体_GBK" w:eastAsia="楷体_GB2312" w:cs="方正楷体_GBK"/>
          <w:sz w:val="32"/>
          <w:szCs w:val="32"/>
        </w:rPr>
        <w:t>职务：</w:t>
      </w:r>
      <w:r>
        <w:rPr>
          <w:rFonts w:hint="eastAsia" w:ascii="楷体_GB2312" w:hAnsi="方正楷体_GBK" w:eastAsia="楷体_GB2312" w:cs="方正楷体_GBK"/>
          <w:sz w:val="32"/>
          <w:szCs w:val="32"/>
          <w:u w:val="single"/>
        </w:rPr>
        <w:t xml:space="preserve">           </w:t>
      </w:r>
    </w:p>
    <w:p>
      <w:pPr>
        <w:spacing w:line="579" w:lineRule="exact"/>
        <w:ind w:firstLine="640" w:firstLineChars="200"/>
        <w:rPr>
          <w:rFonts w:hint="eastAsia" w:ascii="楷体_GB2312" w:hAnsi="方正楷体_GBK" w:eastAsia="楷体_GB2312" w:cs="方正楷体_GBK"/>
          <w:sz w:val="32"/>
          <w:szCs w:val="32"/>
        </w:rPr>
      </w:pPr>
      <w:r>
        <w:rPr>
          <w:rFonts w:hint="eastAsia" w:ascii="楷体_GB2312" w:hAnsi="方正楷体_GBK" w:eastAsia="楷体_GB2312" w:cs="方正楷体_GBK"/>
          <w:sz w:val="32"/>
          <w:szCs w:val="32"/>
        </w:rPr>
        <w:t>电    话：</w:t>
      </w:r>
      <w:r>
        <w:rPr>
          <w:rFonts w:hint="eastAsia" w:ascii="楷体_GB2312" w:hAnsi="方正楷体_GBK" w:eastAsia="楷体_GB2312" w:cs="方正楷体_GBK"/>
          <w:sz w:val="32"/>
          <w:szCs w:val="32"/>
          <w:u w:val="single"/>
        </w:rPr>
        <w:t xml:space="preserve">                                  </w:t>
      </w:r>
    </w:p>
    <w:p>
      <w:pPr>
        <w:spacing w:line="579" w:lineRule="exact"/>
        <w:ind w:firstLine="720" w:firstLineChars="200"/>
        <w:rPr>
          <w:sz w:val="36"/>
          <w:szCs w:val="36"/>
        </w:rPr>
      </w:pPr>
      <w:r>
        <w:rPr>
          <w:sz w:val="36"/>
          <w:szCs w:val="36"/>
        </w:rPr>
        <w:t xml:space="preserve">              </w:t>
      </w:r>
    </w:p>
    <w:p>
      <w:pPr>
        <w:adjustRightInd/>
        <w:spacing w:line="560" w:lineRule="exact"/>
        <w:textAlignment w:val="auto"/>
        <w:rPr>
          <w:rFonts w:hint="eastAsia" w:eastAsia="方正小标宋简体"/>
          <w:sz w:val="44"/>
          <w:szCs w:val="44"/>
        </w:rPr>
      </w:pPr>
    </w:p>
    <w:p>
      <w:pPr>
        <w:adjustRightInd/>
        <w:spacing w:line="560" w:lineRule="exact"/>
        <w:textAlignment w:val="auto"/>
        <w:rPr>
          <w:rFonts w:hint="eastAsia" w:ascii="黑体" w:hAnsi="黑体" w:eastAsia="黑体" w:cs="仿宋_GB2312"/>
          <w:sz w:val="32"/>
          <w:szCs w:val="32"/>
        </w:rPr>
      </w:pPr>
      <w:r>
        <w:rPr>
          <w:rFonts w:eastAsia="方正小标宋简体"/>
          <w:sz w:val="44"/>
          <w:szCs w:val="44"/>
        </w:rPr>
        <w:br w:type="page"/>
      </w:r>
      <w:r>
        <w:rPr>
          <w:rFonts w:hint="eastAsia" w:ascii="黑体" w:hAnsi="黑体" w:eastAsia="黑体" w:cs="仿宋_GB2312"/>
          <w:sz w:val="32"/>
          <w:szCs w:val="32"/>
        </w:rPr>
        <w:t>附件3-1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成都市2025年蔬菜（含育苗）生产设施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改造提升项目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储备意见表</w:t>
      </w:r>
    </w:p>
    <w:tbl>
      <w:tblPr>
        <w:tblStyle w:val="7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2247"/>
        <w:gridCol w:w="2502"/>
        <w:gridCol w:w="2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08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7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申报主体全称</w:t>
            </w:r>
          </w:p>
        </w:tc>
        <w:tc>
          <w:tcPr>
            <w:tcW w:w="708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总投资额（万元）</w:t>
            </w:r>
          </w:p>
        </w:tc>
        <w:tc>
          <w:tcPr>
            <w:tcW w:w="22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50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申请补助金额（万元）</w:t>
            </w:r>
          </w:p>
        </w:tc>
        <w:tc>
          <w:tcPr>
            <w:tcW w:w="23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建设时间</w:t>
            </w:r>
          </w:p>
        </w:tc>
        <w:tc>
          <w:tcPr>
            <w:tcW w:w="708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年     月至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建设地点</w:t>
            </w:r>
          </w:p>
        </w:tc>
        <w:tc>
          <w:tcPr>
            <w:tcW w:w="708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区（市）县     镇（街道）     村（社区）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主要建设内容</w:t>
            </w:r>
          </w:p>
          <w:p>
            <w:pPr>
              <w:pStyle w:val="9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708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</w:trPr>
        <w:tc>
          <w:tcPr>
            <w:tcW w:w="22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承诺</w:t>
            </w:r>
          </w:p>
        </w:tc>
        <w:tc>
          <w:tcPr>
            <w:tcW w:w="70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2" w:firstLineChars="200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本单位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自愿参加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成都市蔬菜（含育苗）生产设施改造提升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项目建设，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对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申报材料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的真实性和准确性负责，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不存在同一地块相同建设内容重复申请财政补助的情况，项目建设用地不存在“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非农化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”“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非粮化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不符合土地用途规划的行为。如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违反，自愿放弃</w:t>
            </w:r>
            <w:r>
              <w:rPr>
                <w:rFonts w:hint="eastAsia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项目相关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 xml:space="preserve">财政补助，并依法依规接受约束和惩戒。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40" w:firstLineChars="6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</w:rPr>
              <w:t>负责人签名： 　　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30" w:firstLineChars="0"/>
              <w:textAlignment w:val="auto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</w:rPr>
              <w:t>　　　　　　　　　　　　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atLeast"/>
        </w:trPr>
        <w:tc>
          <w:tcPr>
            <w:tcW w:w="22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县级主管部门意见</w:t>
            </w:r>
          </w:p>
          <w:p>
            <w:pPr>
              <w:pStyle w:val="9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08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64" w:firstLineChars="61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经审核，同意申报。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64" w:firstLineChars="61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64" w:firstLineChars="61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</w:rPr>
              <w:t>负责人签名：   　  （单位公章）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年  月  日</w:t>
            </w:r>
          </w:p>
        </w:tc>
      </w:tr>
    </w:tbl>
    <w:p>
      <w:pPr>
        <w:pStyle w:val="2"/>
        <w:spacing w:after="0" w:line="590" w:lineRule="exact"/>
        <w:ind w:left="0" w:leftChars="0" w:firstLine="0" w:firstLineChars="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附件3-2</w:t>
      </w:r>
    </w:p>
    <w:p>
      <w:pPr>
        <w:spacing w:line="590" w:lineRule="exact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成都市2025年蔬菜（含育苗）生产设施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改造提升项目实施方案（提纲）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spacing w:line="590" w:lineRule="exact"/>
        <w:ind w:firstLine="736" w:firstLineChars="230"/>
        <w:textAlignment w:val="auto"/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</w:rPr>
        <w:t>项目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摘要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ascii="仿宋_GB2312" w:hAnsi="宋体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项目内容的摘要性说明，包括项目名称、建设单位、建设地点、建设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内容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、投资估算等。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</w:rPr>
        <w:t>二、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项目所在区域产业发展概况</w:t>
      </w:r>
    </w:p>
    <w:p>
      <w:pPr>
        <w:spacing w:line="590" w:lineRule="exact"/>
        <w:ind w:firstLine="736" w:firstLineChars="230"/>
        <w:textAlignment w:val="auto"/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产业发展现状及成效，项目建设的可行性和必要性分析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ascii="黑体" w:hAnsi="黑体" w:eastAsia="黑体" w:cs="方正黑体_GBK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</w:rPr>
        <w:t>、项目承担单位的基本情况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ascii="仿宋_GB2312" w:hAnsi="宋体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包括项目单位的法人性质和管理体制、人员数量及技术水平，开展工作成效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ascii="黑体" w:hAnsi="黑体" w:eastAsia="黑体" w:cs="方正黑体_GBK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</w:rPr>
        <w:t>、项目地点选择分析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项目建设地点选址注意与当地建设规划、资源约束条件衔接一致，要直观准确描述地址情况及选址原则，并对与项目建设内容相关的基础状况、建设条件加以描述。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</w:rPr>
        <w:t>、项目建设内容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及投资预算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项目建设内容主要包括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>蔬菜设施大棚主体工程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、配套设施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>设备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等，通过建设内容及投资预算表反映。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对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配套设施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单台（套）估价高于</w:t>
      </w:r>
      <w:r>
        <w:rPr>
          <w:rFonts w:hint="eastAsia" w:ascii="仿宋_GB2312" w:hAnsi="Calibri" w:eastAsia="仿宋_GB2312" w:cs="方正仿宋_GBK"/>
          <w:color w:val="auto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万元的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>机具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设备，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应阐述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型号、单位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数量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、单价等信息（详见附件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>3-3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</w:rPr>
        <w:t>资金</w:t>
      </w: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来源及构成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项目总投资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 xml:space="preserve">  万元，其中申请市级财政资金  万元，自筹资金  万元，市级财政资金主要用于   等环节。</w:t>
      </w:r>
    </w:p>
    <w:p>
      <w:pPr>
        <w:suppressAutoHyphens/>
        <w:bidi w:val="0"/>
        <w:adjustRightInd w:val="0"/>
        <w:spacing w:line="590" w:lineRule="exact"/>
        <w:ind w:firstLine="640" w:firstLineChars="200"/>
        <w:textAlignment w:val="baseline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  <w:lang w:eastAsia="zh-CN"/>
        </w:rPr>
        <w:t>七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eastAsia="zh-CN"/>
        </w:rPr>
        <w:t>项目建设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进度计划</w:t>
      </w:r>
    </w:p>
    <w:tbl>
      <w:tblPr>
        <w:tblStyle w:val="6"/>
        <w:tblW w:w="94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2"/>
        <w:gridCol w:w="6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月份</w:t>
            </w:r>
          </w:p>
        </w:tc>
        <w:tc>
          <w:tcPr>
            <w:tcW w:w="6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完成工作内容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202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年X月</w:t>
            </w:r>
          </w:p>
        </w:tc>
        <w:tc>
          <w:tcPr>
            <w:tcW w:w="6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X月前</w:t>
            </w:r>
          </w:p>
        </w:tc>
        <w:tc>
          <w:tcPr>
            <w:tcW w:w="6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X月前</w:t>
            </w:r>
          </w:p>
        </w:tc>
        <w:tc>
          <w:tcPr>
            <w:tcW w:w="6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……</w:t>
            </w:r>
          </w:p>
        </w:tc>
        <w:tc>
          <w:tcPr>
            <w:tcW w:w="6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202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年x月前</w:t>
            </w:r>
          </w:p>
        </w:tc>
        <w:tc>
          <w:tcPr>
            <w:tcW w:w="6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bidi w:val="0"/>
              <w:adjustRightInd w:val="0"/>
              <w:spacing w:line="590" w:lineRule="exact"/>
              <w:jc w:val="center"/>
              <w:textAlignment w:val="baseline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完成竣工验收，项目投入运营</w:t>
            </w:r>
          </w:p>
        </w:tc>
      </w:tr>
    </w:tbl>
    <w:p>
      <w:pPr>
        <w:pStyle w:val="9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八、项目建设管理情况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Calibri" w:hAnsi="Calibri" w:eastAsia="宋体" w:cs="Times New Roman"/>
          <w:color w:val="auto"/>
          <w:lang w:eastAsia="zh-CN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项目建设组织机构、管理能力以及建成后项目运行维护机制等。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黑体_GBK"/>
          <w:color w:val="auto"/>
          <w:kern w:val="0"/>
          <w:sz w:val="32"/>
          <w:szCs w:val="32"/>
          <w:lang w:eastAsia="zh-CN"/>
        </w:rPr>
        <w:t>九、项目预期效益分析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经济效益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（例如：新增蔬菜产能</w:t>
      </w:r>
      <w:r>
        <w:rPr>
          <w:rFonts w:hint="default" w:ascii="Arial" w:hAnsi="Arial" w:eastAsia="仿宋_GB2312" w:cs="Arial"/>
          <w:color w:val="auto"/>
          <w:kern w:val="0"/>
          <w:sz w:val="32"/>
          <w:szCs w:val="32"/>
          <w:lang w:eastAsia="zh-CN"/>
        </w:rPr>
        <w:t>×</w:t>
      </w:r>
      <w:r>
        <w:rPr>
          <w:rFonts w:hint="eastAsia" w:ascii="Arial" w:hAnsi="Arial" w:eastAsia="仿宋_GB2312" w:cs="Arial"/>
          <w:color w:val="auto"/>
          <w:kern w:val="0"/>
          <w:sz w:val="32"/>
          <w:szCs w:val="32"/>
          <w:lang w:eastAsia="zh-CN"/>
        </w:rPr>
        <w:t>吨</w:t>
      </w:r>
      <w:r>
        <w:rPr>
          <w:rFonts w:hint="eastAsia" w:ascii="Arial" w:hAnsi="Arial" w:eastAsia="仿宋_GB2312" w:cs="Arial"/>
          <w:color w:val="auto"/>
          <w:kern w:val="0"/>
          <w:sz w:val="32"/>
          <w:szCs w:val="32"/>
          <w:lang w:val="en-US" w:eastAsia="zh-CN"/>
        </w:rPr>
        <w:t>/年，新增蔬菜育苗能力</w:t>
      </w:r>
      <w:r>
        <w:rPr>
          <w:rFonts w:hint="default" w:ascii="Arial" w:hAnsi="Arial" w:eastAsia="仿宋_GB2312" w:cs="Arial"/>
          <w:color w:val="auto"/>
          <w:kern w:val="0"/>
          <w:sz w:val="32"/>
          <w:szCs w:val="32"/>
          <w:lang w:eastAsia="zh-CN"/>
        </w:rPr>
        <w:t>×</w:t>
      </w:r>
      <w:r>
        <w:rPr>
          <w:rFonts w:hint="eastAsia" w:ascii="Arial" w:hAnsi="Arial" w:eastAsia="仿宋_GB2312" w:cs="Arial"/>
          <w:color w:val="auto"/>
          <w:kern w:val="0"/>
          <w:sz w:val="32"/>
          <w:szCs w:val="32"/>
          <w:lang w:eastAsia="zh-CN"/>
        </w:rPr>
        <w:t>万株</w:t>
      </w:r>
      <w:r>
        <w:rPr>
          <w:rFonts w:hint="eastAsia" w:ascii="Arial" w:hAnsi="Arial" w:eastAsia="仿宋_GB2312" w:cs="Arial"/>
          <w:color w:val="auto"/>
          <w:kern w:val="0"/>
          <w:sz w:val="32"/>
          <w:szCs w:val="32"/>
          <w:lang w:val="en-US" w:eastAsia="zh-CN"/>
        </w:rPr>
        <w:t>/年，增加收益</w:t>
      </w:r>
      <w:r>
        <w:rPr>
          <w:rFonts w:hint="default" w:ascii="Arial" w:hAnsi="Arial" w:eastAsia="仿宋_GB2312" w:cs="Arial"/>
          <w:color w:val="auto"/>
          <w:kern w:val="0"/>
          <w:sz w:val="32"/>
          <w:szCs w:val="32"/>
          <w:lang w:eastAsia="zh-CN"/>
        </w:rPr>
        <w:t>×</w:t>
      </w:r>
      <w:r>
        <w:rPr>
          <w:rFonts w:hint="eastAsia" w:ascii="Arial" w:hAnsi="Arial" w:eastAsia="仿宋_GB2312" w:cs="Arial"/>
          <w:color w:val="auto"/>
          <w:kern w:val="0"/>
          <w:sz w:val="32"/>
          <w:szCs w:val="32"/>
          <w:lang w:eastAsia="zh-CN"/>
        </w:rPr>
        <w:t>万元</w:t>
      </w:r>
      <w:r>
        <w:rPr>
          <w:rFonts w:hint="eastAsia" w:ascii="Arial" w:hAnsi="Arial" w:eastAsia="仿宋_GB2312" w:cs="Arial"/>
          <w:color w:val="auto"/>
          <w:kern w:val="0"/>
          <w:sz w:val="32"/>
          <w:szCs w:val="32"/>
          <w:lang w:val="en-US" w:eastAsia="zh-CN"/>
        </w:rPr>
        <w:t>/年等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ind w:firstLine="640" w:firstLineChars="200"/>
        <w:textAlignment w:val="auto"/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（二）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</w:rPr>
        <w:t>社会效益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（例如：增强蔬菜抵御自然风险的能力，稳定城市蔬菜保供，保障农产品质量安全，抽检合格率达</w:t>
      </w:r>
      <w:r>
        <w:rPr>
          <w:rFonts w:hint="default" w:ascii="Arial" w:hAnsi="Arial" w:eastAsia="仿宋_GB2312" w:cs="Arial"/>
          <w:color w:val="auto"/>
          <w:kern w:val="0"/>
          <w:sz w:val="32"/>
          <w:szCs w:val="32"/>
          <w:lang w:eastAsia="zh-CN"/>
        </w:rPr>
        <w:t>×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eastAsia="zh-CN"/>
        </w:rPr>
        <w:t>等）；</w:t>
      </w:r>
    </w:p>
    <w:p>
      <w:pPr>
        <w:pStyle w:val="2"/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>（三）生态效益（例如：节约用水、用工大概多少？分别减少化肥、农药使用量</w:t>
      </w:r>
      <w:r>
        <w:rPr>
          <w:rFonts w:hint="default" w:ascii="Arial" w:hAnsi="Arial" w:eastAsia="仿宋_GB2312" w:cs="Arial"/>
          <w:color w:val="auto"/>
          <w:kern w:val="0"/>
          <w:sz w:val="32"/>
          <w:szCs w:val="32"/>
          <w:lang w:eastAsia="zh-CN"/>
        </w:rPr>
        <w:t>×</w:t>
      </w:r>
      <w:r>
        <w:rPr>
          <w:rFonts w:hint="eastAsia" w:ascii="仿宋_GB2312" w:hAnsi="宋体" w:eastAsia="仿宋_GB2312" w:cs="方正仿宋_GBK"/>
          <w:color w:val="auto"/>
          <w:kern w:val="0"/>
          <w:sz w:val="32"/>
          <w:szCs w:val="32"/>
          <w:lang w:val="en-US" w:eastAsia="zh-CN"/>
        </w:rPr>
        <w:t>%等）。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90" w:lineRule="exact"/>
        <w:textAlignment w:val="auto"/>
        <w:rPr>
          <w:rFonts w:ascii="仿宋_GB2312" w:hAnsi="Calibri" w:eastAsia="仿宋_GB2312" w:cs="Times New Roman"/>
          <w:color w:val="auto"/>
          <w:sz w:val="32"/>
          <w:szCs w:val="32"/>
        </w:rPr>
      </w:pPr>
    </w:p>
    <w:p>
      <w:pPr>
        <w:widowControl w:val="0"/>
        <w:spacing w:after="120"/>
        <w:ind w:left="420" w:leftChars="200" w:firstLine="640" w:firstLineChars="200"/>
        <w:jc w:val="both"/>
        <w:rPr>
          <w:rFonts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spacing w:after="0" w:line="590" w:lineRule="exact"/>
        <w:ind w:left="0" w:leftChars="0" w:firstLine="0" w:firstLineChars="0"/>
        <w:rPr>
          <w:rFonts w:hint="default" w:ascii="黑体" w:hAnsi="黑体" w:eastAsia="黑体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color w:val="auto"/>
          <w:kern w:val="2"/>
          <w:sz w:val="32"/>
          <w:szCs w:val="32"/>
          <w:lang w:val="en-US" w:eastAsia="zh-CN" w:bidi="ar-SA"/>
        </w:rPr>
        <w:br w:type="page"/>
      </w:r>
      <w:r>
        <w:rPr>
          <w:rFonts w:hint="eastAsia" w:ascii="黑体" w:hAnsi="黑体" w:eastAsia="黑体" w:cs="仿宋_GB2312"/>
          <w:sz w:val="32"/>
          <w:szCs w:val="32"/>
        </w:rPr>
        <w:t>附件3-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3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4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0"/>
          <w:kern w:val="21"/>
          <w:sz w:val="40"/>
          <w:szCs w:val="40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0"/>
          <w:kern w:val="21"/>
          <w:sz w:val="40"/>
          <w:szCs w:val="40"/>
          <w:lang w:val="en-US" w:eastAsia="zh-CN" w:bidi="ar-SA"/>
        </w:rPr>
        <w:t>成都市2025年蔬菜（含育苗）生产设施改造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4"/>
        <w:rPr>
          <w:rFonts w:hint="default" w:ascii="方正小标宋_GBK" w:hAnsi="方正小标宋_GBK" w:eastAsia="方正小标宋_GBK" w:cs="方正小标宋_GBK"/>
          <w:b w:val="0"/>
          <w:bCs w:val="0"/>
          <w:color w:val="auto"/>
          <w:spacing w:val="0"/>
          <w:kern w:val="21"/>
          <w:sz w:val="40"/>
          <w:szCs w:val="40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0"/>
          <w:kern w:val="21"/>
          <w:sz w:val="40"/>
          <w:szCs w:val="40"/>
          <w:lang w:val="en-US" w:eastAsia="zh-CN" w:bidi="ar-SA"/>
        </w:rPr>
        <w:t>提升项目建设内容及投资预算表（样表）</w:t>
      </w:r>
    </w:p>
    <w:tbl>
      <w:tblPr>
        <w:tblStyle w:val="6"/>
        <w:tblW w:w="90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491"/>
        <w:gridCol w:w="790"/>
        <w:gridCol w:w="1140"/>
        <w:gridCol w:w="1065"/>
        <w:gridCol w:w="1110"/>
        <w:gridCol w:w="919"/>
        <w:gridCol w:w="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建设主</w:t>
            </w:r>
            <w:r>
              <w:rPr>
                <w:rFonts w:hint="eastAsia" w:ascii="宋体" w:hAnsi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体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名称：</w:t>
            </w:r>
          </w:p>
        </w:tc>
        <w:tc>
          <w:tcPr>
            <w:tcW w:w="401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实施地点：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01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项目概况： 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扩建（改造）蔬菜生产大棚×平方米，新建水肥（药）一体化设施×套，覆盖面积×平方米，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申请市级财政资金补助×万元，总投资×万元。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5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宋体" w:hAnsi="宋体" w:eastAsia="仿宋" w:cs="Times New Roman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  <w:t>建设内容</w:t>
            </w:r>
          </w:p>
        </w:tc>
        <w:tc>
          <w:tcPr>
            <w:tcW w:w="149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  <w:t>性质</w:t>
            </w: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  <w:t>型号</w:t>
            </w:r>
          </w:p>
        </w:tc>
        <w:tc>
          <w:tcPr>
            <w:tcW w:w="7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val="en-US" w:eastAsia="zh-CN"/>
              </w:rPr>
              <w:t>单位</w:t>
            </w:r>
          </w:p>
        </w:tc>
        <w:tc>
          <w:tcPr>
            <w:tcW w:w="11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  <w:t>数量</w:t>
            </w:r>
          </w:p>
        </w:tc>
        <w:tc>
          <w:tcPr>
            <w:tcW w:w="10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  <w:t>单价</w:t>
            </w: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18"/>
                <w:szCs w:val="18"/>
                <w:lang w:eastAsia="zh-CN"/>
              </w:rPr>
              <w:t>（元）</w:t>
            </w:r>
          </w:p>
        </w:tc>
        <w:tc>
          <w:tcPr>
            <w:tcW w:w="11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  <w:t>合</w:t>
            </w: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</w:rPr>
              <w:t>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18"/>
                <w:szCs w:val="18"/>
                <w:lang w:eastAsia="zh-CN"/>
              </w:rPr>
              <w:t>（万元）</w:t>
            </w:r>
          </w:p>
        </w:tc>
        <w:tc>
          <w:tcPr>
            <w:tcW w:w="18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5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49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7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1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  <w:t>市级财政资金</w:t>
            </w: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18"/>
                <w:szCs w:val="18"/>
                <w:lang w:eastAsia="zh-CN"/>
              </w:rPr>
              <w:t>（万元）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eastAsia="zh-CN"/>
              </w:rPr>
              <w:t>业主自筹资金</w:t>
            </w: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18"/>
                <w:szCs w:val="18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仿宋" w:cs="Times New Roman"/>
                <w:b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b/>
                <w:color w:val="auto"/>
                <w:spacing w:val="-20"/>
                <w:sz w:val="24"/>
                <w:lang w:eastAsia="zh-CN"/>
              </w:rPr>
              <w:t>一、</w:t>
            </w:r>
            <w:r>
              <w:rPr>
                <w:rFonts w:hint="eastAsia" w:ascii="宋体" w:hAnsi="宋体" w:eastAsia="仿宋" w:cs="Times New Roman"/>
                <w:b/>
                <w:color w:val="auto"/>
                <w:spacing w:val="-20"/>
                <w:sz w:val="24"/>
                <w:lang w:val="en-US" w:eastAsia="zh-CN"/>
              </w:rPr>
              <w:t>设施大棚主体工程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b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b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  <w:t>钢架棚制安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钢构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m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1000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棚膜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10丝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</w:rPr>
              <w:t>㎡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遮阳网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</w:rPr>
              <w:t>㎡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  <w:t>防虫网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</w:rPr>
              <w:t>㎡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2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val="en-US" w:eastAsia="zh-CN"/>
              </w:rPr>
              <w:t>小计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val="en-US" w:eastAsia="zh-CN"/>
              </w:rPr>
              <w:t>二、</w:t>
            </w:r>
            <w:r>
              <w:rPr>
                <w:rFonts w:hint="eastAsia" w:ascii="宋体" w:hAnsi="宋体" w:eastAsia="仿宋" w:cs="Times New Roman"/>
                <w:b/>
                <w:bCs w:val="0"/>
                <w:color w:val="auto"/>
                <w:spacing w:val="-20"/>
                <w:sz w:val="24"/>
                <w:lang w:val="en-US" w:eastAsia="zh-CN"/>
              </w:rPr>
              <w:t>水肥(药)一体化设施设备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首部系统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套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田间管网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m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Arial" w:hAnsi="Arial" w:eastAsia="仿宋" w:cs="Arial"/>
                <w:color w:val="auto"/>
                <w:spacing w:val="-20"/>
                <w:sz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Arial" w:hAnsi="Arial" w:eastAsia="仿宋" w:cs="Arial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val="en-US" w:eastAsia="zh-CN"/>
              </w:rPr>
              <w:t>小计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val="en-US" w:eastAsia="zh-CN"/>
              </w:rPr>
              <w:t>三、其他配套设施设备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播种流水线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条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  <w:t>育苗床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</w:rPr>
              <w:t>㎡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2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2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仿宋" w:cs="Times New Roman"/>
                <w:color w:val="auto"/>
                <w:spacing w:val="-20"/>
                <w:sz w:val="24"/>
                <w:lang w:val="en-US" w:eastAsia="zh-CN"/>
              </w:rPr>
            </w:pPr>
            <w:r>
              <w:rPr>
                <w:rFonts w:hint="eastAsia" w:ascii="宋体" w:hAnsi="宋体" w:eastAsia="仿宋" w:cs="Times New Roman"/>
                <w:b/>
                <w:color w:val="auto"/>
                <w:spacing w:val="-20"/>
                <w:sz w:val="24"/>
              </w:rPr>
              <w:t>小  计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b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 w:eastAsia="仿宋" w:cs="Times New Roman"/>
                <w:b/>
                <w:bCs/>
                <w:color w:val="auto"/>
                <w:spacing w:val="-20"/>
                <w:sz w:val="24"/>
                <w:lang w:val="en-US" w:eastAsia="zh-CN"/>
              </w:rPr>
              <w:t>总计</w:t>
            </w:r>
          </w:p>
        </w:tc>
        <w:tc>
          <w:tcPr>
            <w:tcW w:w="11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b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仿宋" w:cs="Times New Roman"/>
                <w:color w:val="auto"/>
                <w:spacing w:val="-20"/>
                <w:sz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B3D0A6"/>
    <w:multiLevelType w:val="singleLevel"/>
    <w:tmpl w:val="8CB3D0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267D1"/>
    <w:rsid w:val="2592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table" w:styleId="7">
    <w:name w:val="Table Grid"/>
    <w:basedOn w:val="6"/>
    <w:qFormat/>
    <w:uiPriority w:val="0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正文2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2025-05-26T03:07:00Z</dcterms:created>
  <dc:creator>1</dc:creator>
  <cp:lastModifiedBy>1</cp:lastModifiedBy>
  <dcterms:modified xsi:type="dcterms:W3CDTF">2025-05-26T03:08:01Z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