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bidi w:val="0"/>
      </w:pPr>
      <w:r>
        <w:t>成都市温江区促进知识产权创新发展</w:t>
      </w:r>
      <w:r>
        <w:rPr>
          <w:rFonts w:hint="eastAsia"/>
        </w:rPr>
        <w:br w:type="textWrapping"/>
      </w:r>
      <w:r>
        <w:t>政策措施</w:t>
      </w:r>
      <w:r>
        <w:rPr>
          <w:rFonts w:hint="eastAsia"/>
        </w:rPr>
        <w:t>（修订）</w:t>
      </w:r>
      <w:r>
        <w:t>实施细则</w:t>
      </w:r>
    </w:p>
    <w:p>
      <w:pPr>
        <w:pStyle w:val="12"/>
        <w:bidi w:val="0"/>
        <w:rPr>
          <w:lang w:val="en-US" w:eastAsia="zh-CN"/>
        </w:rPr>
      </w:pPr>
      <w:r>
        <w:rPr>
          <w:lang w:val="en-US" w:eastAsia="zh-CN"/>
        </w:rPr>
        <w:t>（征求意见稿）</w:t>
      </w:r>
    </w:p>
    <w:p>
      <w:pPr>
        <w:widowControl w:val="0"/>
        <w:suppressAutoHyphens/>
        <w:ind w:firstLine="640" w:firstLineChars="200"/>
        <w:jc w:val="both"/>
        <w:rPr>
          <w:rFonts w:hint="eastAsia" w:eastAsia="方正仿宋简体" w:cs="Times New Roman"/>
          <w:color w:val="auto"/>
          <w:kern w:val="2"/>
          <w:sz w:val="32"/>
          <w:szCs w:val="24"/>
          <w:highlight w:val="none"/>
          <w:lang w:val="en-US" w:eastAsia="zh-CN" w:bidi="ar-SA"/>
        </w:rPr>
      </w:pPr>
    </w:p>
    <w:p>
      <w:pPr>
        <w:pStyle w:val="34"/>
        <w:bidi w:val="0"/>
        <w:rPr>
          <w:lang w:val="en-US" w:eastAsia="zh-CN"/>
        </w:rPr>
      </w:pPr>
      <w:r>
        <w:rPr>
          <w:rFonts w:hint="eastAsia"/>
          <w:lang w:val="en-US" w:eastAsia="zh-CN"/>
        </w:rPr>
        <w:t>为贯彻落实</w:t>
      </w:r>
      <w:r>
        <w:rPr>
          <w:lang w:val="en-US" w:eastAsia="zh-CN"/>
        </w:rPr>
        <w:t>《成都市温江区</w:t>
      </w:r>
      <w:r>
        <w:rPr>
          <w:rFonts w:hint="eastAsia"/>
          <w:lang w:val="en-US" w:eastAsia="zh-CN"/>
        </w:rPr>
        <w:t>人民政府关于印发</w:t>
      </w:r>
      <w:r>
        <w:rPr>
          <w:lang w:val="en-US" w:eastAsia="zh-CN"/>
        </w:rPr>
        <w:t>成都市温江区</w:t>
      </w:r>
      <w:r>
        <w:rPr>
          <w:rFonts w:hint="eastAsia"/>
          <w:lang w:val="en-US" w:eastAsia="zh-CN"/>
        </w:rPr>
        <w:t>促进知识产权创新发展政策措施（修订）的通知》</w:t>
      </w:r>
      <w:r>
        <w:rPr>
          <w:lang w:val="en-US" w:eastAsia="zh-CN"/>
        </w:rPr>
        <w:t>（温</w:t>
      </w:r>
      <w:r>
        <w:rPr>
          <w:rFonts w:hint="eastAsia"/>
          <w:lang w:val="en-US" w:eastAsia="zh-CN"/>
        </w:rPr>
        <w:t>府规</w:t>
      </w:r>
      <w:r>
        <w:rPr>
          <w:lang w:val="en-US" w:eastAsia="zh-CN"/>
        </w:rPr>
        <w:t>〔202</w:t>
      </w:r>
      <w:r>
        <w:rPr>
          <w:rFonts w:hint="eastAsia"/>
          <w:lang w:val="en-US" w:eastAsia="zh-CN"/>
        </w:rPr>
        <w:t>5</w:t>
      </w:r>
      <w:r>
        <w:rPr>
          <w:lang w:val="en-US" w:eastAsia="zh-CN"/>
        </w:rPr>
        <w:t>〕</w:t>
      </w:r>
      <w:r>
        <w:rPr>
          <w:rFonts w:hint="eastAsia"/>
          <w:lang w:val="en-US" w:eastAsia="zh-CN"/>
        </w:rPr>
        <w:t>1</w:t>
      </w:r>
      <w:r>
        <w:rPr>
          <w:lang w:val="en-US" w:eastAsia="zh-CN"/>
        </w:rPr>
        <w:t>号）</w:t>
      </w:r>
      <w:r>
        <w:rPr>
          <w:rFonts w:hint="eastAsia"/>
          <w:lang w:val="en-US" w:eastAsia="zh-CN"/>
        </w:rPr>
        <w:t>，结合实际，制定本实施细则。</w:t>
      </w:r>
    </w:p>
    <w:p>
      <w:pPr>
        <w:pStyle w:val="3"/>
        <w:bidi w:val="0"/>
        <w:rPr>
          <w:rFonts w:hint="default"/>
          <w:lang w:val="en-US" w:eastAsia="zh-CN"/>
        </w:rPr>
      </w:pPr>
      <w:r>
        <w:rPr>
          <w:rFonts w:hint="eastAsia"/>
          <w:lang w:val="en-US" w:eastAsia="zh-CN"/>
        </w:rPr>
        <w:t>一、促进知识产权高质量创造</w:t>
      </w:r>
    </w:p>
    <w:p>
      <w:pPr>
        <w:pStyle w:val="4"/>
        <w:bidi w:val="0"/>
        <w:rPr>
          <w:rFonts w:hint="default"/>
          <w:lang w:val="en-US" w:eastAsia="zh-CN"/>
        </w:rPr>
      </w:pPr>
      <w:r>
        <w:rPr>
          <w:rFonts w:hint="eastAsia"/>
          <w:lang w:val="en-US" w:eastAsia="zh-CN"/>
        </w:rPr>
        <w:t>（一）</w:t>
      </w:r>
      <w:r>
        <w:rPr>
          <w:rFonts w:hint="default"/>
          <w:lang w:val="en-US" w:eastAsia="zh-CN"/>
        </w:rPr>
        <w:t>支持高价值知识产权创造和实施产业化</w:t>
      </w:r>
    </w:p>
    <w:p>
      <w:pPr>
        <w:pStyle w:val="34"/>
        <w:bidi w:val="0"/>
        <w:rPr>
          <w:lang w:val="en-US" w:eastAsia="zh-CN"/>
        </w:rPr>
      </w:pPr>
      <w:r>
        <w:rPr>
          <w:rFonts w:hint="eastAsia"/>
          <w:lang w:val="en-US" w:eastAsia="zh-CN"/>
        </w:rPr>
        <w:t>1.政策依据：《成都市温江区促进知识产权创新发展政策措施（修订）》（</w:t>
      </w:r>
      <w:bookmarkStart w:id="0" w:name="OLE_LINK74"/>
      <w:r>
        <w:rPr>
          <w:rFonts w:hint="eastAsia"/>
          <w:lang w:val="en-US" w:eastAsia="zh-CN"/>
        </w:rPr>
        <w:t>温府</w:t>
      </w:r>
      <w:r>
        <w:rPr>
          <w:lang w:val="en-US" w:eastAsia="zh-CN"/>
        </w:rPr>
        <w:t>规〔202</w:t>
      </w:r>
      <w:r>
        <w:rPr>
          <w:rFonts w:hint="eastAsia"/>
          <w:lang w:val="en-US" w:eastAsia="zh-CN"/>
        </w:rPr>
        <w:t>5</w:t>
      </w:r>
      <w:r>
        <w:rPr>
          <w:lang w:val="en-US" w:eastAsia="zh-CN"/>
        </w:rPr>
        <w:t>〕</w:t>
      </w:r>
      <w:bookmarkEnd w:id="0"/>
      <w:r>
        <w:rPr>
          <w:rFonts w:hint="eastAsia"/>
          <w:lang w:val="en-US" w:eastAsia="zh-CN"/>
        </w:rPr>
        <w:t>1号）第一条。</w:t>
      </w:r>
    </w:p>
    <w:p>
      <w:pPr>
        <w:pStyle w:val="34"/>
        <w:bidi w:val="0"/>
        <w:rPr>
          <w:lang w:val="en-US" w:eastAsia="zh-CN"/>
        </w:rPr>
      </w:pPr>
      <w:r>
        <w:rPr>
          <w:rFonts w:hint="eastAsia"/>
          <w:lang w:val="en-US" w:eastAsia="zh-CN"/>
        </w:rPr>
        <w:t>2.事项内容：对符合温江区“3+6”现代化产业体系的高价值专利、集成电路布图、植物新品种、版权等知识产权实施产业化并取得良好的经济效益、社会效益的项目，评审遴选出其中的优秀项目，给予每个优秀项目不超过10万元资助。</w:t>
      </w:r>
    </w:p>
    <w:p>
      <w:pPr>
        <w:pStyle w:val="34"/>
        <w:bidi w:val="0"/>
        <w:rPr>
          <w:lang w:val="en-US" w:eastAsia="zh-CN"/>
        </w:rPr>
      </w:pPr>
      <w:r>
        <w:rPr>
          <w:rFonts w:hint="eastAsia"/>
          <w:lang w:val="en-US" w:eastAsia="zh-CN"/>
        </w:rPr>
        <w:t>3.事项分类：线下完成前置资格认定程序后线上免申即享。</w:t>
      </w:r>
    </w:p>
    <w:p>
      <w:pPr>
        <w:pStyle w:val="34"/>
        <w:bidi w:val="0"/>
        <w:rPr>
          <w:lang w:val="en-US" w:eastAsia="zh-CN"/>
        </w:rPr>
      </w:pPr>
      <w:r>
        <w:rPr>
          <w:rFonts w:hint="eastAsia"/>
          <w:lang w:val="en-US" w:eastAsia="zh-CN"/>
        </w:rPr>
        <w:t>4.支持对象：住所或主要生产、经营活动在温江区的企业。</w:t>
      </w:r>
      <w:r>
        <w:rPr>
          <w:lang w:val="en-US" w:eastAsia="zh-CN"/>
        </w:rPr>
        <w:t>原则上优先支持科技型中小企业、创新型中小企业、高新技术企业、专精特新中小企业、知识产权优势示范企业、专利奖获奖企业等申报</w:t>
      </w:r>
      <w:r>
        <w:rPr>
          <w:rFonts w:hint="eastAsia"/>
          <w:lang w:val="en-US" w:eastAsia="zh-CN"/>
        </w:rPr>
        <w:t>主体</w:t>
      </w:r>
      <w:r>
        <w:rPr>
          <w:lang w:val="en-US" w:eastAsia="zh-CN"/>
        </w:rPr>
        <w:t>。</w:t>
      </w:r>
    </w:p>
    <w:p>
      <w:pPr>
        <w:pStyle w:val="34"/>
        <w:bidi w:val="0"/>
        <w:rPr>
          <w:rFonts w:hint="eastAsia"/>
          <w:lang w:val="en-US" w:eastAsia="zh-CN"/>
        </w:rPr>
      </w:pPr>
      <w:r>
        <w:rPr>
          <w:rFonts w:hint="eastAsia"/>
          <w:lang w:val="en-US" w:eastAsia="zh-CN"/>
        </w:rPr>
        <w:t>5.支持标准：</w:t>
      </w:r>
      <w:r>
        <w:rPr>
          <w:lang w:val="en-US" w:eastAsia="zh-CN"/>
        </w:rPr>
        <w:t>根据项目实施情况及发展前景，</w:t>
      </w:r>
      <w:r>
        <w:rPr>
          <w:rFonts w:hint="eastAsia"/>
          <w:lang w:val="en-US" w:eastAsia="zh-CN"/>
        </w:rPr>
        <w:t>评审遴选出其中的优秀项目，给予每个优秀项目不超过10万元资助。按照项目评审结果分为三档，分别资助10万元、8万元、5万元。</w:t>
      </w:r>
    </w:p>
    <w:p>
      <w:pPr>
        <w:pStyle w:val="34"/>
        <w:bidi w:val="0"/>
        <w:rPr>
          <w:lang w:val="en-US" w:eastAsia="zh-CN"/>
        </w:rPr>
      </w:pPr>
      <w:r>
        <w:rPr>
          <w:rFonts w:hint="eastAsia"/>
          <w:lang w:val="en-US" w:eastAsia="zh-CN"/>
        </w:rPr>
        <w:t>6.申报条件：</w:t>
      </w:r>
    </w:p>
    <w:p>
      <w:pPr>
        <w:pStyle w:val="34"/>
        <w:bidi w:val="0"/>
        <w:rPr>
          <w:lang w:val="en-US" w:eastAsia="zh-CN"/>
        </w:rPr>
      </w:pPr>
      <w:r>
        <w:rPr>
          <w:rFonts w:hint="eastAsia"/>
          <w:lang w:val="en-US" w:eastAsia="zh-CN"/>
        </w:rPr>
        <w:t>（1）项目</w:t>
      </w:r>
      <w:r>
        <w:rPr>
          <w:lang w:val="en-US" w:eastAsia="zh-CN"/>
        </w:rPr>
        <w:t>已在区内实体化实施并取得良好的经济效益、社会效益，具有发展前景，且上一年度知识产权实施产业化的产品销售收入达500万元。</w:t>
      </w:r>
    </w:p>
    <w:p>
      <w:pPr>
        <w:pStyle w:val="34"/>
        <w:bidi w:val="0"/>
        <w:rPr>
          <w:lang w:val="en-US" w:eastAsia="zh-CN"/>
        </w:rPr>
      </w:pPr>
      <w:r>
        <w:rPr>
          <w:rFonts w:hint="eastAsia"/>
          <w:lang w:val="en-US" w:eastAsia="zh-CN"/>
        </w:rPr>
        <w:t>（2）本政策事项</w:t>
      </w:r>
      <w:r>
        <w:rPr>
          <w:lang w:val="en-US" w:eastAsia="zh-CN"/>
        </w:rPr>
        <w:t>涉及的知识产权法律状态应为有效且不涉及知识产权侵权纠纷。专利纠纷为无效宣告类纠纷的，</w:t>
      </w:r>
      <w:r>
        <w:rPr>
          <w:rFonts w:hint="eastAsia"/>
          <w:lang w:val="en-US" w:eastAsia="zh-CN"/>
        </w:rPr>
        <w:t>申报主体</w:t>
      </w:r>
      <w:r>
        <w:rPr>
          <w:lang w:val="en-US" w:eastAsia="zh-CN"/>
        </w:rPr>
        <w:t>若能提供胜诉依据，则可以申报本</w:t>
      </w:r>
      <w:r>
        <w:rPr>
          <w:rFonts w:hint="eastAsia"/>
          <w:lang w:val="en-US" w:eastAsia="zh-CN"/>
        </w:rPr>
        <w:t>事项</w:t>
      </w:r>
      <w:r>
        <w:rPr>
          <w:lang w:val="en-US" w:eastAsia="zh-CN"/>
        </w:rPr>
        <w:t>。</w:t>
      </w:r>
    </w:p>
    <w:p>
      <w:pPr>
        <w:pStyle w:val="34"/>
        <w:bidi w:val="0"/>
        <w:rPr>
          <w:rFonts w:hint="eastAsia"/>
          <w:lang w:val="en-US" w:eastAsia="zh-CN"/>
        </w:rPr>
      </w:pPr>
      <w:r>
        <w:rPr>
          <w:rFonts w:hint="eastAsia"/>
          <w:lang w:val="en-US" w:eastAsia="zh-CN"/>
        </w:rPr>
        <w:t>7.办理方式：</w:t>
      </w:r>
    </w:p>
    <w:p>
      <w:pPr>
        <w:pStyle w:val="34"/>
        <w:bidi w:val="0"/>
        <w:rPr>
          <w:rFonts w:hint="eastAsia"/>
          <w:lang w:val="en-US" w:eastAsia="zh-CN"/>
        </w:rPr>
      </w:pPr>
      <w:r>
        <w:rPr>
          <w:rFonts w:hint="eastAsia"/>
          <w:lang w:val="en-US" w:eastAsia="zh-CN"/>
        </w:rPr>
        <w:t>（1）资格认定：</w:t>
      </w:r>
    </w:p>
    <w:p>
      <w:pPr>
        <w:pStyle w:val="34"/>
        <w:bidi w:val="0"/>
        <w:rPr>
          <w:lang w:val="en-US" w:eastAsia="zh-CN"/>
        </w:rPr>
      </w:pPr>
      <w:r>
        <w:rPr>
          <w:rFonts w:hint="eastAsia"/>
          <w:lang w:val="en-US" w:eastAsia="zh-CN"/>
        </w:rPr>
        <w:t>①申报。申报主体根据当年发布申报要求提供以下纸质盖章版申报材料：</w:t>
      </w:r>
      <w:r>
        <w:rPr>
          <w:lang w:val="en-US" w:eastAsia="zh-CN"/>
        </w:rPr>
        <w:t>知识产权实施产业化项目报告</w:t>
      </w:r>
      <w:r>
        <w:rPr>
          <w:rFonts w:hint="eastAsia"/>
          <w:lang w:val="en-US" w:eastAsia="zh-CN"/>
        </w:rPr>
        <w:t>书</w:t>
      </w:r>
      <w:r>
        <w:rPr>
          <w:lang w:val="en-US" w:eastAsia="zh-CN"/>
        </w:rPr>
        <w:t>，包括项目概述、实施方案、目标成效等</w:t>
      </w:r>
      <w:r>
        <w:rPr>
          <w:rFonts w:hint="eastAsia"/>
          <w:lang w:val="en-US" w:eastAsia="zh-CN"/>
        </w:rPr>
        <w:t>内容；</w:t>
      </w:r>
      <w:bookmarkStart w:id="1" w:name="OLE_LINK1"/>
      <w:r>
        <w:rPr>
          <w:lang w:val="en-US" w:eastAsia="zh-CN"/>
        </w:rPr>
        <w:t>有资质的审计机构出具的可查验的专项审计报告，报告应明确项目</w:t>
      </w:r>
      <w:r>
        <w:rPr>
          <w:rFonts w:hint="eastAsia"/>
          <w:lang w:val="en-US" w:eastAsia="zh-CN"/>
        </w:rPr>
        <w:t>近三年</w:t>
      </w:r>
      <w:r>
        <w:rPr>
          <w:lang w:val="en-US" w:eastAsia="zh-CN"/>
        </w:rPr>
        <w:t>直接相关的实际投入费用</w:t>
      </w:r>
      <w:r>
        <w:rPr>
          <w:rFonts w:hint="eastAsia"/>
          <w:lang w:val="en-US" w:eastAsia="zh-CN"/>
        </w:rPr>
        <w:t>及</w:t>
      </w:r>
      <w:r>
        <w:rPr>
          <w:lang w:val="en-US" w:eastAsia="zh-CN"/>
        </w:rPr>
        <w:t>上一年度知识产权实施产业化的产品销售收入等</w:t>
      </w:r>
      <w:r>
        <w:rPr>
          <w:rFonts w:hint="eastAsia"/>
          <w:lang w:val="en-US" w:eastAsia="zh-CN"/>
        </w:rPr>
        <w:t>信息</w:t>
      </w:r>
      <w:r>
        <w:rPr>
          <w:lang w:val="en-US" w:eastAsia="zh-CN"/>
        </w:rPr>
        <w:t>，同时提供相关的合同、票据</w:t>
      </w:r>
      <w:r>
        <w:rPr>
          <w:rFonts w:hint="eastAsia"/>
          <w:lang w:val="en-US" w:eastAsia="zh-CN"/>
        </w:rPr>
        <w:t>、</w:t>
      </w:r>
      <w:r>
        <w:rPr>
          <w:lang w:val="en-US" w:eastAsia="zh-CN"/>
        </w:rPr>
        <w:t>支付凭证等资料作为附件</w:t>
      </w:r>
      <w:bookmarkEnd w:id="1"/>
      <w:r>
        <w:rPr>
          <w:rFonts w:hint="eastAsia"/>
          <w:lang w:val="en-US" w:eastAsia="zh-CN"/>
        </w:rPr>
        <w:t>；</w:t>
      </w:r>
      <w:r>
        <w:rPr>
          <w:lang w:val="en-US" w:eastAsia="zh-CN"/>
        </w:rPr>
        <w:t>有效知识产权证明材料</w:t>
      </w:r>
      <w:r>
        <w:rPr>
          <w:rFonts w:hint="eastAsia"/>
          <w:lang w:val="en-US" w:eastAsia="zh-CN"/>
        </w:rPr>
        <w:t>；</w:t>
      </w:r>
      <w:r>
        <w:rPr>
          <w:lang w:val="en-US" w:eastAsia="zh-CN"/>
        </w:rPr>
        <w:t>诚信申报承诺书。</w:t>
      </w:r>
    </w:p>
    <w:p>
      <w:pPr>
        <w:pStyle w:val="34"/>
        <w:bidi w:val="0"/>
        <w:rPr>
          <w:rFonts w:hint="eastAsia"/>
          <w:lang w:val="en-US" w:eastAsia="zh-CN"/>
        </w:rPr>
      </w:pPr>
      <w:r>
        <w:rPr>
          <w:rFonts w:hint="eastAsia"/>
          <w:lang w:val="en-US" w:eastAsia="zh-CN"/>
        </w:rPr>
        <w:t>②评审。由</w:t>
      </w:r>
      <w:r>
        <w:rPr>
          <w:lang w:val="en-US" w:eastAsia="zh-CN"/>
        </w:rPr>
        <w:t>区市场监管局（区知识产权局）</w:t>
      </w:r>
      <w:r>
        <w:rPr>
          <w:rFonts w:hint="eastAsia"/>
          <w:lang w:val="en-US" w:eastAsia="zh-CN"/>
        </w:rPr>
        <w:t>对申报资料进行初审；</w:t>
      </w:r>
      <w:r>
        <w:rPr>
          <w:lang w:val="en-US" w:eastAsia="zh-CN"/>
        </w:rPr>
        <w:t>区市场监管局（区知识产权局）</w:t>
      </w:r>
      <w:r>
        <w:rPr>
          <w:rFonts w:hint="eastAsia"/>
          <w:lang w:val="en-US" w:eastAsia="zh-CN"/>
        </w:rPr>
        <w:t>召集相关领域专家、单位组成评审组，对初审通过项目进行现场综合评审，项目企业参与现场答辩，</w:t>
      </w:r>
      <w:r>
        <w:rPr>
          <w:rFonts w:hint="eastAsia"/>
          <w:highlight w:val="none"/>
          <w:lang w:val="en-US" w:eastAsia="zh-CN"/>
        </w:rPr>
        <w:t>评审组综合项目实施方案及取得的经济效益、社会效益等因素出具评审意见和评审分数，评审分数90分及以上的确定为资助对象，并按照评审分数分为三档。</w:t>
      </w:r>
    </w:p>
    <w:p>
      <w:pPr>
        <w:pStyle w:val="34"/>
        <w:bidi w:val="0"/>
        <w:rPr>
          <w:rFonts w:hint="eastAsia"/>
          <w:lang w:val="en-US" w:eastAsia="zh-CN"/>
        </w:rPr>
      </w:pPr>
      <w:r>
        <w:rPr>
          <w:rFonts w:hint="eastAsia"/>
          <w:lang w:val="en-US" w:eastAsia="zh-CN"/>
        </w:rPr>
        <w:t>（2）免申即享：惠企事项责任单位通过温江区智慧企业服务平台审核办理。</w:t>
      </w:r>
    </w:p>
    <w:p>
      <w:pPr>
        <w:pStyle w:val="34"/>
        <w:bidi w:val="0"/>
        <w:rPr>
          <w:lang w:val="en-US" w:eastAsia="zh-CN"/>
        </w:rPr>
      </w:pPr>
      <w:r>
        <w:rPr>
          <w:rFonts w:hint="eastAsia"/>
          <w:lang w:val="en-US" w:eastAsia="zh-CN"/>
        </w:rPr>
        <w:t>8.惠企事项责任部门：</w:t>
      </w:r>
      <w:r>
        <w:rPr>
          <w:lang w:val="en-US" w:eastAsia="zh-CN"/>
        </w:rPr>
        <w:t>区市场监管局（区知识产权局）</w:t>
      </w:r>
      <w:r>
        <w:rPr>
          <w:rFonts w:hint="eastAsia"/>
          <w:lang w:val="en-US" w:eastAsia="zh-CN"/>
        </w:rPr>
        <w:t>。</w:t>
      </w:r>
    </w:p>
    <w:p>
      <w:pPr>
        <w:pStyle w:val="34"/>
        <w:bidi w:val="0"/>
        <w:rPr>
          <w:lang w:val="en-US" w:eastAsia="zh-CN"/>
        </w:rPr>
      </w:pPr>
      <w:r>
        <w:rPr>
          <w:rFonts w:hint="eastAsia"/>
          <w:lang w:val="en-US" w:eastAsia="zh-CN"/>
        </w:rPr>
        <w:t>9.责任科室：知识产权管理保护科。</w:t>
      </w:r>
    </w:p>
    <w:p>
      <w:pPr>
        <w:pStyle w:val="34"/>
        <w:bidi w:val="0"/>
        <w:rPr>
          <w:lang w:val="en-US" w:eastAsia="zh-CN"/>
        </w:rPr>
      </w:pPr>
      <w:r>
        <w:rPr>
          <w:rFonts w:hint="eastAsia"/>
          <w:lang w:val="en-US" w:eastAsia="zh-CN"/>
        </w:rPr>
        <w:t>10.联系方式：</w:t>
      </w:r>
      <w:r>
        <w:rPr>
          <w:lang w:val="en-US" w:eastAsia="zh-CN"/>
        </w:rPr>
        <w:t>028</w:t>
      </w:r>
      <w:r>
        <w:rPr>
          <w:rFonts w:hint="eastAsia"/>
          <w:lang w:val="en-US" w:eastAsia="zh-CN"/>
        </w:rPr>
        <w:t>—</w:t>
      </w:r>
      <w:r>
        <w:rPr>
          <w:lang w:val="en-US" w:eastAsia="zh-CN"/>
        </w:rPr>
        <w:t>82746023</w:t>
      </w:r>
      <w:r>
        <w:rPr>
          <w:rFonts w:hint="eastAsia"/>
          <w:lang w:val="en-US" w:eastAsia="zh-CN"/>
        </w:rPr>
        <w:t>。</w:t>
      </w:r>
    </w:p>
    <w:p>
      <w:pPr>
        <w:pStyle w:val="4"/>
        <w:bidi w:val="0"/>
        <w:rPr>
          <w:rFonts w:hint="default"/>
          <w:lang w:val="en-US" w:eastAsia="zh-CN"/>
        </w:rPr>
      </w:pPr>
      <w:r>
        <w:rPr>
          <w:rFonts w:hint="eastAsia"/>
          <w:lang w:val="en-US" w:eastAsia="zh-CN"/>
        </w:rPr>
        <w:t>（二）</w:t>
      </w:r>
      <w:r>
        <w:rPr>
          <w:rFonts w:hint="default"/>
          <w:lang w:val="en-US" w:eastAsia="zh-CN"/>
        </w:rPr>
        <w:t>支持创新创业活力提升</w:t>
      </w:r>
      <w:r>
        <w:rPr>
          <w:rFonts w:hint="eastAsia"/>
          <w:lang w:val="en-US" w:eastAsia="zh-CN"/>
        </w:rPr>
        <w:t>（获得中国专利奖、</w:t>
      </w:r>
      <w:r>
        <w:rPr>
          <w:rFonts w:hint="default"/>
          <w:lang w:val="en-US" w:eastAsia="zh-CN"/>
        </w:rPr>
        <w:t>中国外观设计奖</w:t>
      </w:r>
      <w:r>
        <w:rPr>
          <w:rFonts w:hint="eastAsia"/>
          <w:lang w:val="en-US" w:eastAsia="zh-CN"/>
        </w:rPr>
        <w:t>、</w:t>
      </w:r>
      <w:r>
        <w:rPr>
          <w:rFonts w:hint="default"/>
          <w:lang w:val="en-US" w:eastAsia="zh-CN"/>
        </w:rPr>
        <w:t>中国版权金奖</w:t>
      </w:r>
      <w:r>
        <w:rPr>
          <w:rFonts w:hint="eastAsia"/>
          <w:lang w:val="en-US" w:eastAsia="zh-CN"/>
        </w:rPr>
        <w:t>）</w:t>
      </w:r>
    </w:p>
    <w:p>
      <w:pPr>
        <w:pStyle w:val="34"/>
        <w:bidi w:val="0"/>
        <w:rPr>
          <w:lang w:val="en-US" w:eastAsia="zh-CN"/>
        </w:rPr>
      </w:pPr>
      <w:r>
        <w:rPr>
          <w:rFonts w:hint="eastAsia"/>
          <w:lang w:val="en-US" w:eastAsia="zh-CN"/>
        </w:rPr>
        <w:t>1.政策依据：《成都市温江区促进知识产权创新发展政策措施（修订）》（温府</w:t>
      </w:r>
      <w:r>
        <w:rPr>
          <w:lang w:val="en-US" w:eastAsia="zh-CN"/>
        </w:rPr>
        <w:t>规〔202</w:t>
      </w:r>
      <w:r>
        <w:rPr>
          <w:rFonts w:hint="eastAsia"/>
          <w:lang w:val="en-US" w:eastAsia="zh-CN"/>
        </w:rPr>
        <w:t>5</w:t>
      </w:r>
      <w:r>
        <w:rPr>
          <w:lang w:val="en-US" w:eastAsia="zh-CN"/>
        </w:rPr>
        <w:t>〕</w:t>
      </w:r>
      <w:r>
        <w:rPr>
          <w:rFonts w:hint="eastAsia"/>
          <w:lang w:val="en-US" w:eastAsia="zh-CN"/>
        </w:rPr>
        <w:t>1号）第二条支持方向一。</w:t>
      </w:r>
    </w:p>
    <w:p>
      <w:pPr>
        <w:pStyle w:val="34"/>
        <w:bidi w:val="0"/>
        <w:rPr>
          <w:lang w:val="en-US" w:eastAsia="zh-CN"/>
        </w:rPr>
      </w:pPr>
      <w:r>
        <w:rPr>
          <w:rFonts w:hint="eastAsia"/>
          <w:lang w:val="en-US" w:eastAsia="zh-CN"/>
        </w:rPr>
        <w:t>2.事项内容：</w:t>
      </w:r>
      <w:r>
        <w:rPr>
          <w:lang w:val="en-US" w:eastAsia="zh-CN"/>
        </w:rPr>
        <w:t>对首次获得中国专利金奖、银奖、优秀奖的，分别给予企事业单位的专利权人50万元、25万元、10万元的资助。对首次获得</w:t>
      </w:r>
      <w:bookmarkStart w:id="2" w:name="OLE_LINK96"/>
      <w:r>
        <w:rPr>
          <w:lang w:val="en-US" w:eastAsia="zh-CN"/>
        </w:rPr>
        <w:t>中国外观设计金奖</w:t>
      </w:r>
      <w:bookmarkEnd w:id="2"/>
      <w:r>
        <w:rPr>
          <w:lang w:val="en-US" w:eastAsia="zh-CN"/>
        </w:rPr>
        <w:t>、银奖、优秀奖的，分别给予企事业单位的专利权人20万元、10万元、5万元的资助</w:t>
      </w:r>
      <w:r>
        <w:rPr>
          <w:rFonts w:hint="eastAsia"/>
          <w:lang w:val="en-US" w:eastAsia="zh-CN"/>
        </w:rPr>
        <w:t>。</w:t>
      </w:r>
      <w:r>
        <w:rPr>
          <w:lang w:val="en-US" w:eastAsia="zh-CN"/>
        </w:rPr>
        <w:t>对首次获得</w:t>
      </w:r>
      <w:bookmarkStart w:id="3" w:name="OLE_LINK97"/>
      <w:r>
        <w:rPr>
          <w:lang w:val="en-US" w:eastAsia="zh-CN"/>
        </w:rPr>
        <w:t>中国版权金奖</w:t>
      </w:r>
      <w:bookmarkEnd w:id="3"/>
      <w:r>
        <w:rPr>
          <w:lang w:val="en-US" w:eastAsia="zh-CN"/>
        </w:rPr>
        <w:t>的企事业单位给予100万元一次性资助。</w:t>
      </w:r>
    </w:p>
    <w:p>
      <w:pPr>
        <w:pStyle w:val="34"/>
        <w:bidi w:val="0"/>
        <w:rPr>
          <w:lang w:val="en-US" w:eastAsia="zh-CN"/>
        </w:rPr>
      </w:pPr>
      <w:r>
        <w:rPr>
          <w:rFonts w:hint="eastAsia"/>
          <w:lang w:val="en-US" w:eastAsia="zh-CN"/>
        </w:rPr>
        <w:t>3.事项分类：免申即享。</w:t>
      </w:r>
    </w:p>
    <w:p>
      <w:pPr>
        <w:pStyle w:val="34"/>
        <w:bidi w:val="0"/>
        <w:rPr>
          <w:lang w:val="en-US" w:eastAsia="zh-CN"/>
        </w:rPr>
      </w:pPr>
      <w:r>
        <w:rPr>
          <w:rFonts w:hint="eastAsia"/>
          <w:lang w:val="en-US" w:eastAsia="zh-CN"/>
        </w:rPr>
        <w:t>4.支持对象：住所或主要生产、经营活动在温江区的企事业单位及个人。</w:t>
      </w:r>
    </w:p>
    <w:p>
      <w:pPr>
        <w:pStyle w:val="34"/>
        <w:bidi w:val="0"/>
        <w:rPr>
          <w:lang w:val="en-US" w:eastAsia="zh-CN"/>
        </w:rPr>
      </w:pPr>
      <w:r>
        <w:rPr>
          <w:rFonts w:hint="eastAsia"/>
          <w:lang w:val="en-US" w:eastAsia="zh-CN"/>
        </w:rPr>
        <w:t>5.支持标准：</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2866"/>
        <w:gridCol w:w="2037"/>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7" w:type="dxa"/>
            <w:vAlign w:val="center"/>
          </w:tcPr>
          <w:p>
            <w:pPr>
              <w:spacing w:line="360" w:lineRule="exact"/>
              <w:jc w:val="center"/>
              <w:rPr>
                <w:rFonts w:hint="eastAsia" w:ascii="方正黑体简体" w:hAnsi="方正黑体简体" w:eastAsia="方正黑体简体" w:cs="方正黑体简体"/>
                <w:b w:val="0"/>
                <w:bCs/>
                <w:color w:val="auto"/>
                <w:sz w:val="28"/>
                <w:szCs w:val="28"/>
                <w:highlight w:val="none"/>
                <w:lang w:bidi="ar"/>
              </w:rPr>
            </w:pPr>
            <w:r>
              <w:rPr>
                <w:rFonts w:hint="eastAsia" w:ascii="方正黑体简体" w:hAnsi="方正黑体简体" w:eastAsia="方正黑体简体" w:cs="方正黑体简体"/>
                <w:b w:val="0"/>
                <w:bCs/>
                <w:color w:val="auto"/>
                <w:sz w:val="28"/>
                <w:szCs w:val="28"/>
                <w:highlight w:val="none"/>
                <w:lang w:bidi="ar"/>
              </w:rPr>
              <w:t>序号</w:t>
            </w:r>
          </w:p>
        </w:tc>
        <w:tc>
          <w:tcPr>
            <w:tcW w:w="4903" w:type="dxa"/>
            <w:gridSpan w:val="2"/>
            <w:vAlign w:val="center"/>
          </w:tcPr>
          <w:p>
            <w:pPr>
              <w:spacing w:line="360" w:lineRule="exact"/>
              <w:jc w:val="center"/>
              <w:rPr>
                <w:rFonts w:hint="eastAsia" w:ascii="方正黑体简体" w:hAnsi="方正黑体简体" w:eastAsia="方正黑体简体" w:cs="方正黑体简体"/>
                <w:b w:val="0"/>
                <w:bCs/>
                <w:color w:val="auto"/>
                <w:sz w:val="28"/>
                <w:szCs w:val="28"/>
                <w:highlight w:val="none"/>
                <w:lang w:bidi="ar"/>
              </w:rPr>
            </w:pPr>
            <w:r>
              <w:rPr>
                <w:rFonts w:hint="eastAsia" w:ascii="方正黑体简体" w:hAnsi="方正黑体简体" w:eastAsia="方正黑体简体" w:cs="方正黑体简体"/>
                <w:b w:val="0"/>
                <w:bCs/>
                <w:color w:val="auto"/>
                <w:sz w:val="28"/>
                <w:szCs w:val="28"/>
                <w:highlight w:val="none"/>
                <w:lang w:bidi="ar"/>
              </w:rPr>
              <w:t>奖项</w:t>
            </w:r>
          </w:p>
        </w:tc>
        <w:tc>
          <w:tcPr>
            <w:tcW w:w="2148" w:type="dxa"/>
            <w:vAlign w:val="center"/>
          </w:tcPr>
          <w:p>
            <w:pPr>
              <w:spacing w:line="360" w:lineRule="exact"/>
              <w:jc w:val="center"/>
              <w:rPr>
                <w:rFonts w:hint="eastAsia" w:ascii="方正黑体简体" w:hAnsi="方正黑体简体" w:eastAsia="方正黑体简体" w:cs="方正黑体简体"/>
                <w:b w:val="0"/>
                <w:bCs/>
                <w:color w:val="auto"/>
                <w:sz w:val="28"/>
                <w:szCs w:val="28"/>
                <w:highlight w:val="none"/>
                <w:lang w:bidi="ar"/>
              </w:rPr>
            </w:pPr>
            <w:r>
              <w:rPr>
                <w:rFonts w:hint="eastAsia" w:ascii="方正黑体简体" w:hAnsi="方正黑体简体" w:eastAsia="方正黑体简体" w:cs="方正黑体简体"/>
                <w:b w:val="0"/>
                <w:bCs/>
                <w:color w:val="auto"/>
                <w:sz w:val="28"/>
                <w:szCs w:val="28"/>
                <w:highlight w:val="none"/>
                <w:lang w:bidi="ar"/>
              </w:rPr>
              <w:t>支持标准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7" w:type="dxa"/>
            <w:vMerge w:val="restart"/>
            <w:vAlign w:val="center"/>
          </w:tcPr>
          <w:p>
            <w:pPr>
              <w:spacing w:line="360" w:lineRule="exact"/>
              <w:jc w:val="center"/>
              <w:rPr>
                <w:rFonts w:eastAsia="方正仿宋简体"/>
                <w:bCs/>
                <w:color w:val="auto"/>
                <w:sz w:val="28"/>
                <w:szCs w:val="28"/>
                <w:highlight w:val="none"/>
                <w:lang w:bidi="ar"/>
              </w:rPr>
            </w:pPr>
            <w:r>
              <w:rPr>
                <w:rFonts w:hint="eastAsia" w:eastAsia="方正仿宋简体"/>
                <w:bCs/>
                <w:color w:val="auto"/>
                <w:sz w:val="28"/>
                <w:szCs w:val="28"/>
                <w:highlight w:val="none"/>
                <w:lang w:bidi="ar"/>
              </w:rPr>
              <w:t>1</w:t>
            </w:r>
          </w:p>
        </w:tc>
        <w:tc>
          <w:tcPr>
            <w:tcW w:w="2866" w:type="dxa"/>
            <w:vMerge w:val="restart"/>
            <w:vAlign w:val="center"/>
          </w:tcPr>
          <w:p>
            <w:pPr>
              <w:spacing w:line="360" w:lineRule="exact"/>
              <w:jc w:val="center"/>
              <w:rPr>
                <w:rFonts w:eastAsia="方正仿宋简体"/>
                <w:bCs/>
                <w:color w:val="auto"/>
                <w:sz w:val="28"/>
                <w:szCs w:val="28"/>
                <w:highlight w:val="none"/>
                <w:lang w:bidi="ar"/>
              </w:rPr>
            </w:pPr>
            <w:r>
              <w:rPr>
                <w:rFonts w:hint="eastAsia" w:eastAsia="方正仿宋简体"/>
                <w:bCs/>
                <w:color w:val="auto"/>
                <w:sz w:val="28"/>
                <w:szCs w:val="28"/>
                <w:highlight w:val="none"/>
                <w:lang w:bidi="ar"/>
              </w:rPr>
              <w:t>中国专利奖</w:t>
            </w:r>
          </w:p>
        </w:tc>
        <w:tc>
          <w:tcPr>
            <w:tcW w:w="2037" w:type="dxa"/>
            <w:vAlign w:val="center"/>
          </w:tcPr>
          <w:p>
            <w:pPr>
              <w:spacing w:line="360" w:lineRule="exact"/>
              <w:jc w:val="center"/>
              <w:rPr>
                <w:rFonts w:eastAsia="方正仿宋简体"/>
                <w:bCs/>
                <w:color w:val="auto"/>
                <w:sz w:val="28"/>
                <w:szCs w:val="28"/>
                <w:highlight w:val="none"/>
                <w:lang w:bidi="ar"/>
              </w:rPr>
            </w:pPr>
            <w:r>
              <w:rPr>
                <w:rFonts w:hint="eastAsia" w:eastAsia="方正仿宋简体"/>
                <w:bCs/>
                <w:color w:val="auto"/>
                <w:sz w:val="28"/>
                <w:szCs w:val="28"/>
                <w:highlight w:val="none"/>
                <w:lang w:bidi="ar"/>
              </w:rPr>
              <w:t>金奖</w:t>
            </w:r>
          </w:p>
        </w:tc>
        <w:tc>
          <w:tcPr>
            <w:tcW w:w="2148" w:type="dxa"/>
            <w:vAlign w:val="center"/>
          </w:tcPr>
          <w:p>
            <w:pPr>
              <w:spacing w:line="360" w:lineRule="exact"/>
              <w:jc w:val="center"/>
              <w:rPr>
                <w:rFonts w:eastAsia="方正仿宋简体"/>
                <w:bCs/>
                <w:color w:val="auto"/>
                <w:sz w:val="28"/>
                <w:szCs w:val="28"/>
                <w:highlight w:val="none"/>
                <w:lang w:bidi="ar"/>
              </w:rPr>
            </w:pPr>
            <w:r>
              <w:rPr>
                <w:rFonts w:hint="eastAsia" w:eastAsia="方正仿宋简体"/>
                <w:bCs/>
                <w:color w:val="auto"/>
                <w:sz w:val="28"/>
                <w:szCs w:val="28"/>
                <w:highlight w:val="none"/>
                <w:lang w:bidi="ar"/>
              </w:rPr>
              <w:t>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7" w:type="dxa"/>
            <w:vMerge w:val="continue"/>
            <w:vAlign w:val="center"/>
          </w:tcPr>
          <w:p>
            <w:pPr>
              <w:spacing w:line="360" w:lineRule="exact"/>
              <w:jc w:val="center"/>
              <w:rPr>
                <w:rFonts w:eastAsia="方正仿宋简体"/>
                <w:bCs/>
                <w:color w:val="auto"/>
                <w:sz w:val="28"/>
                <w:szCs w:val="28"/>
                <w:highlight w:val="none"/>
                <w:lang w:bidi="ar"/>
              </w:rPr>
            </w:pPr>
          </w:p>
        </w:tc>
        <w:tc>
          <w:tcPr>
            <w:tcW w:w="2866" w:type="dxa"/>
            <w:vMerge w:val="continue"/>
            <w:vAlign w:val="center"/>
          </w:tcPr>
          <w:p>
            <w:pPr>
              <w:spacing w:line="360" w:lineRule="exact"/>
              <w:jc w:val="center"/>
              <w:rPr>
                <w:rFonts w:eastAsia="方正仿宋简体"/>
                <w:bCs/>
                <w:color w:val="auto"/>
                <w:sz w:val="28"/>
                <w:szCs w:val="28"/>
                <w:highlight w:val="none"/>
                <w:lang w:bidi="ar"/>
              </w:rPr>
            </w:pPr>
          </w:p>
        </w:tc>
        <w:tc>
          <w:tcPr>
            <w:tcW w:w="2037" w:type="dxa"/>
            <w:vAlign w:val="center"/>
          </w:tcPr>
          <w:p>
            <w:pPr>
              <w:spacing w:line="360" w:lineRule="exact"/>
              <w:jc w:val="center"/>
              <w:rPr>
                <w:rFonts w:eastAsia="方正仿宋简体"/>
                <w:bCs/>
                <w:color w:val="auto"/>
                <w:sz w:val="28"/>
                <w:szCs w:val="28"/>
                <w:highlight w:val="none"/>
                <w:lang w:bidi="ar"/>
              </w:rPr>
            </w:pPr>
            <w:r>
              <w:rPr>
                <w:rFonts w:hint="eastAsia" w:eastAsia="方正仿宋简体"/>
                <w:bCs/>
                <w:color w:val="auto"/>
                <w:sz w:val="28"/>
                <w:szCs w:val="28"/>
                <w:highlight w:val="none"/>
                <w:lang w:bidi="ar"/>
              </w:rPr>
              <w:t>银奖</w:t>
            </w:r>
          </w:p>
        </w:tc>
        <w:tc>
          <w:tcPr>
            <w:tcW w:w="2148" w:type="dxa"/>
            <w:vAlign w:val="center"/>
          </w:tcPr>
          <w:p>
            <w:pPr>
              <w:spacing w:line="360" w:lineRule="exact"/>
              <w:jc w:val="center"/>
              <w:rPr>
                <w:rFonts w:eastAsia="仿宋_GB2312"/>
                <w:color w:val="auto"/>
                <w:sz w:val="36"/>
                <w:szCs w:val="28"/>
                <w:highlight w:val="none"/>
              </w:rPr>
            </w:pPr>
            <w:r>
              <w:rPr>
                <w:rFonts w:hint="eastAsia" w:eastAsia="方正仿宋简体"/>
                <w:bCs/>
                <w:color w:val="auto"/>
                <w:sz w:val="28"/>
                <w:szCs w:val="28"/>
                <w:highlight w:val="none"/>
                <w:lang w:bidi="ar"/>
              </w:rPr>
              <w:t>25万元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7" w:type="dxa"/>
            <w:vMerge w:val="continue"/>
            <w:vAlign w:val="center"/>
          </w:tcPr>
          <w:p>
            <w:pPr>
              <w:spacing w:line="360" w:lineRule="exact"/>
              <w:jc w:val="center"/>
              <w:rPr>
                <w:rFonts w:eastAsia="方正仿宋简体"/>
                <w:bCs/>
                <w:color w:val="auto"/>
                <w:sz w:val="28"/>
                <w:szCs w:val="28"/>
                <w:highlight w:val="none"/>
                <w:lang w:bidi="ar"/>
              </w:rPr>
            </w:pPr>
          </w:p>
        </w:tc>
        <w:tc>
          <w:tcPr>
            <w:tcW w:w="2866" w:type="dxa"/>
            <w:vMerge w:val="continue"/>
            <w:vAlign w:val="center"/>
          </w:tcPr>
          <w:p>
            <w:pPr>
              <w:spacing w:line="360" w:lineRule="exact"/>
              <w:jc w:val="center"/>
              <w:rPr>
                <w:rFonts w:eastAsia="方正仿宋简体"/>
                <w:bCs/>
                <w:color w:val="auto"/>
                <w:sz w:val="28"/>
                <w:szCs w:val="28"/>
                <w:highlight w:val="none"/>
                <w:lang w:bidi="ar"/>
              </w:rPr>
            </w:pPr>
          </w:p>
        </w:tc>
        <w:tc>
          <w:tcPr>
            <w:tcW w:w="2037" w:type="dxa"/>
            <w:vAlign w:val="center"/>
          </w:tcPr>
          <w:p>
            <w:pPr>
              <w:spacing w:line="360" w:lineRule="exact"/>
              <w:jc w:val="center"/>
              <w:rPr>
                <w:rFonts w:eastAsia="方正仿宋简体"/>
                <w:bCs/>
                <w:color w:val="auto"/>
                <w:sz w:val="28"/>
                <w:szCs w:val="28"/>
                <w:highlight w:val="none"/>
                <w:lang w:bidi="ar"/>
              </w:rPr>
            </w:pPr>
            <w:r>
              <w:rPr>
                <w:rFonts w:hint="eastAsia" w:eastAsia="方正仿宋简体"/>
                <w:bCs/>
                <w:color w:val="auto"/>
                <w:sz w:val="28"/>
                <w:szCs w:val="28"/>
                <w:highlight w:val="none"/>
                <w:lang w:bidi="ar"/>
              </w:rPr>
              <w:t>优秀奖</w:t>
            </w:r>
          </w:p>
        </w:tc>
        <w:tc>
          <w:tcPr>
            <w:tcW w:w="2148" w:type="dxa"/>
            <w:vAlign w:val="center"/>
          </w:tcPr>
          <w:p>
            <w:pPr>
              <w:spacing w:line="360" w:lineRule="exact"/>
              <w:jc w:val="center"/>
              <w:rPr>
                <w:rFonts w:eastAsia="方正仿宋简体"/>
                <w:bCs/>
                <w:color w:val="auto"/>
                <w:sz w:val="28"/>
                <w:szCs w:val="28"/>
                <w:highlight w:val="none"/>
                <w:lang w:bidi="ar"/>
              </w:rPr>
            </w:pPr>
            <w:r>
              <w:rPr>
                <w:rFonts w:hint="eastAsia" w:eastAsia="方正仿宋简体"/>
                <w:bCs/>
                <w:color w:val="auto"/>
                <w:sz w:val="28"/>
                <w:szCs w:val="28"/>
                <w:highlight w:val="none"/>
                <w:lang w:bidi="ar"/>
              </w:rPr>
              <w:t>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7" w:type="dxa"/>
            <w:vMerge w:val="restart"/>
            <w:vAlign w:val="center"/>
          </w:tcPr>
          <w:p>
            <w:pPr>
              <w:spacing w:line="360" w:lineRule="exact"/>
              <w:jc w:val="center"/>
              <w:rPr>
                <w:rFonts w:eastAsia="方正仿宋简体"/>
                <w:bCs/>
                <w:color w:val="auto"/>
                <w:sz w:val="28"/>
                <w:szCs w:val="28"/>
                <w:highlight w:val="none"/>
                <w:lang w:bidi="ar"/>
              </w:rPr>
            </w:pPr>
            <w:r>
              <w:rPr>
                <w:rFonts w:hint="eastAsia" w:eastAsia="方正仿宋简体"/>
                <w:bCs/>
                <w:color w:val="auto"/>
                <w:sz w:val="28"/>
                <w:szCs w:val="28"/>
                <w:highlight w:val="none"/>
                <w:lang w:bidi="ar"/>
              </w:rPr>
              <w:t>2</w:t>
            </w:r>
          </w:p>
        </w:tc>
        <w:tc>
          <w:tcPr>
            <w:tcW w:w="2866" w:type="dxa"/>
            <w:vMerge w:val="restart"/>
            <w:vAlign w:val="center"/>
          </w:tcPr>
          <w:p>
            <w:pPr>
              <w:spacing w:line="360" w:lineRule="exact"/>
              <w:jc w:val="center"/>
              <w:rPr>
                <w:rFonts w:eastAsia="方正仿宋简体"/>
                <w:bCs/>
                <w:color w:val="auto"/>
                <w:sz w:val="28"/>
                <w:szCs w:val="28"/>
                <w:highlight w:val="none"/>
                <w:lang w:bidi="ar"/>
              </w:rPr>
            </w:pPr>
            <w:r>
              <w:rPr>
                <w:rFonts w:eastAsia="方正仿宋简体"/>
                <w:bCs/>
                <w:color w:val="auto"/>
                <w:sz w:val="28"/>
                <w:szCs w:val="28"/>
                <w:highlight w:val="none"/>
                <w:lang w:bidi="ar"/>
              </w:rPr>
              <w:t>中国外观设计奖</w:t>
            </w:r>
          </w:p>
        </w:tc>
        <w:tc>
          <w:tcPr>
            <w:tcW w:w="2037" w:type="dxa"/>
            <w:vAlign w:val="center"/>
          </w:tcPr>
          <w:p>
            <w:pPr>
              <w:spacing w:line="360" w:lineRule="exact"/>
              <w:jc w:val="center"/>
              <w:rPr>
                <w:rFonts w:eastAsia="方正仿宋简体"/>
                <w:bCs/>
                <w:color w:val="auto"/>
                <w:sz w:val="28"/>
                <w:szCs w:val="28"/>
                <w:highlight w:val="none"/>
                <w:lang w:bidi="ar"/>
              </w:rPr>
            </w:pPr>
            <w:r>
              <w:rPr>
                <w:rFonts w:hint="eastAsia" w:eastAsia="方正仿宋简体"/>
                <w:bCs/>
                <w:color w:val="auto"/>
                <w:sz w:val="28"/>
                <w:szCs w:val="28"/>
                <w:highlight w:val="none"/>
                <w:lang w:bidi="ar"/>
              </w:rPr>
              <w:t>金奖</w:t>
            </w:r>
          </w:p>
        </w:tc>
        <w:tc>
          <w:tcPr>
            <w:tcW w:w="2148" w:type="dxa"/>
            <w:vAlign w:val="center"/>
          </w:tcPr>
          <w:p>
            <w:pPr>
              <w:spacing w:line="360" w:lineRule="exact"/>
              <w:jc w:val="center"/>
              <w:rPr>
                <w:rFonts w:eastAsia="方正仿宋简体"/>
                <w:bCs/>
                <w:color w:val="auto"/>
                <w:sz w:val="28"/>
                <w:szCs w:val="28"/>
                <w:highlight w:val="none"/>
                <w:lang w:bidi="ar"/>
              </w:rPr>
            </w:pPr>
            <w:r>
              <w:rPr>
                <w:rFonts w:hint="eastAsia" w:eastAsia="方正仿宋简体"/>
                <w:bCs/>
                <w:color w:val="auto"/>
                <w:sz w:val="28"/>
                <w:szCs w:val="28"/>
                <w:highlight w:val="none"/>
                <w:lang w:bidi="ar"/>
              </w:rPr>
              <w:t>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7" w:type="dxa"/>
            <w:vMerge w:val="continue"/>
            <w:vAlign w:val="center"/>
          </w:tcPr>
          <w:p>
            <w:pPr>
              <w:spacing w:line="360" w:lineRule="exact"/>
              <w:jc w:val="center"/>
              <w:rPr>
                <w:rFonts w:eastAsia="方正仿宋简体"/>
                <w:bCs/>
                <w:color w:val="auto"/>
                <w:sz w:val="28"/>
                <w:szCs w:val="28"/>
                <w:highlight w:val="none"/>
                <w:lang w:bidi="ar"/>
              </w:rPr>
            </w:pPr>
          </w:p>
        </w:tc>
        <w:tc>
          <w:tcPr>
            <w:tcW w:w="2866" w:type="dxa"/>
            <w:vMerge w:val="continue"/>
            <w:vAlign w:val="center"/>
          </w:tcPr>
          <w:p>
            <w:pPr>
              <w:spacing w:line="360" w:lineRule="exact"/>
              <w:jc w:val="center"/>
              <w:rPr>
                <w:rFonts w:eastAsia="方正仿宋简体"/>
                <w:bCs/>
                <w:color w:val="auto"/>
                <w:sz w:val="28"/>
                <w:szCs w:val="28"/>
                <w:highlight w:val="none"/>
                <w:lang w:bidi="ar"/>
              </w:rPr>
            </w:pPr>
          </w:p>
        </w:tc>
        <w:tc>
          <w:tcPr>
            <w:tcW w:w="2037" w:type="dxa"/>
            <w:vAlign w:val="center"/>
          </w:tcPr>
          <w:p>
            <w:pPr>
              <w:spacing w:line="360" w:lineRule="exact"/>
              <w:jc w:val="center"/>
              <w:rPr>
                <w:rFonts w:eastAsia="方正仿宋简体"/>
                <w:bCs/>
                <w:color w:val="auto"/>
                <w:sz w:val="28"/>
                <w:szCs w:val="28"/>
                <w:highlight w:val="none"/>
                <w:lang w:bidi="ar"/>
              </w:rPr>
            </w:pPr>
            <w:r>
              <w:rPr>
                <w:rFonts w:hint="eastAsia" w:eastAsia="方正仿宋简体"/>
                <w:bCs/>
                <w:color w:val="auto"/>
                <w:sz w:val="28"/>
                <w:szCs w:val="28"/>
                <w:highlight w:val="none"/>
                <w:lang w:bidi="ar"/>
              </w:rPr>
              <w:t>银奖</w:t>
            </w:r>
          </w:p>
        </w:tc>
        <w:tc>
          <w:tcPr>
            <w:tcW w:w="2148" w:type="dxa"/>
            <w:vAlign w:val="center"/>
          </w:tcPr>
          <w:p>
            <w:pPr>
              <w:spacing w:line="360" w:lineRule="exact"/>
              <w:jc w:val="center"/>
              <w:rPr>
                <w:rFonts w:eastAsia="方正仿宋简体"/>
                <w:bCs/>
                <w:color w:val="auto"/>
                <w:sz w:val="28"/>
                <w:szCs w:val="28"/>
                <w:highlight w:val="none"/>
                <w:lang w:bidi="ar"/>
              </w:rPr>
            </w:pPr>
            <w:r>
              <w:rPr>
                <w:rFonts w:hint="eastAsia" w:eastAsia="方正仿宋简体"/>
                <w:bCs/>
                <w:color w:val="auto"/>
                <w:sz w:val="28"/>
                <w:szCs w:val="28"/>
                <w:highlight w:val="none"/>
                <w:lang w:bidi="ar"/>
              </w:rPr>
              <w:t>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7" w:type="dxa"/>
            <w:vMerge w:val="continue"/>
            <w:vAlign w:val="center"/>
          </w:tcPr>
          <w:p>
            <w:pPr>
              <w:spacing w:line="360" w:lineRule="exact"/>
              <w:jc w:val="center"/>
              <w:rPr>
                <w:rFonts w:eastAsia="方正仿宋简体"/>
                <w:bCs/>
                <w:color w:val="auto"/>
                <w:sz w:val="28"/>
                <w:szCs w:val="28"/>
                <w:highlight w:val="none"/>
                <w:lang w:bidi="ar"/>
              </w:rPr>
            </w:pPr>
          </w:p>
        </w:tc>
        <w:tc>
          <w:tcPr>
            <w:tcW w:w="2866" w:type="dxa"/>
            <w:vMerge w:val="continue"/>
            <w:vAlign w:val="center"/>
          </w:tcPr>
          <w:p>
            <w:pPr>
              <w:spacing w:line="360" w:lineRule="exact"/>
              <w:jc w:val="center"/>
              <w:rPr>
                <w:rFonts w:eastAsia="方正仿宋简体"/>
                <w:bCs/>
                <w:color w:val="auto"/>
                <w:sz w:val="28"/>
                <w:szCs w:val="28"/>
                <w:highlight w:val="none"/>
                <w:lang w:bidi="ar"/>
              </w:rPr>
            </w:pPr>
          </w:p>
        </w:tc>
        <w:tc>
          <w:tcPr>
            <w:tcW w:w="2037" w:type="dxa"/>
            <w:vAlign w:val="center"/>
          </w:tcPr>
          <w:p>
            <w:pPr>
              <w:spacing w:line="360" w:lineRule="exact"/>
              <w:jc w:val="center"/>
              <w:rPr>
                <w:rFonts w:eastAsia="方正仿宋简体"/>
                <w:bCs/>
                <w:color w:val="auto"/>
                <w:sz w:val="28"/>
                <w:szCs w:val="28"/>
                <w:highlight w:val="none"/>
                <w:lang w:bidi="ar"/>
              </w:rPr>
            </w:pPr>
            <w:r>
              <w:rPr>
                <w:rFonts w:hint="eastAsia" w:eastAsia="方正仿宋简体"/>
                <w:bCs/>
                <w:color w:val="auto"/>
                <w:sz w:val="28"/>
                <w:szCs w:val="28"/>
                <w:highlight w:val="none"/>
                <w:lang w:bidi="ar"/>
              </w:rPr>
              <w:t>优秀奖</w:t>
            </w:r>
          </w:p>
        </w:tc>
        <w:tc>
          <w:tcPr>
            <w:tcW w:w="2148" w:type="dxa"/>
            <w:vAlign w:val="center"/>
          </w:tcPr>
          <w:p>
            <w:pPr>
              <w:spacing w:line="360" w:lineRule="exact"/>
              <w:jc w:val="center"/>
              <w:rPr>
                <w:rFonts w:eastAsia="方正仿宋简体"/>
                <w:bCs/>
                <w:color w:val="auto"/>
                <w:sz w:val="28"/>
                <w:szCs w:val="28"/>
                <w:highlight w:val="none"/>
                <w:lang w:bidi="ar"/>
              </w:rPr>
            </w:pPr>
            <w:r>
              <w:rPr>
                <w:rFonts w:hint="eastAsia" w:eastAsia="方正仿宋简体"/>
                <w:bCs/>
                <w:color w:val="auto"/>
                <w:sz w:val="28"/>
                <w:szCs w:val="28"/>
                <w:highlight w:val="none"/>
                <w:lang w:bidi="ar"/>
              </w:rPr>
              <w:t>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7" w:type="dxa"/>
            <w:vAlign w:val="center"/>
          </w:tcPr>
          <w:p>
            <w:pPr>
              <w:spacing w:line="360" w:lineRule="exact"/>
              <w:jc w:val="center"/>
              <w:rPr>
                <w:rFonts w:eastAsia="方正仿宋简体"/>
                <w:bCs/>
                <w:color w:val="auto"/>
                <w:sz w:val="28"/>
                <w:szCs w:val="28"/>
                <w:highlight w:val="none"/>
                <w:lang w:bidi="ar"/>
              </w:rPr>
            </w:pPr>
            <w:r>
              <w:rPr>
                <w:rFonts w:hint="eastAsia" w:eastAsia="方正仿宋简体"/>
                <w:bCs/>
                <w:color w:val="auto"/>
                <w:sz w:val="28"/>
                <w:szCs w:val="28"/>
                <w:highlight w:val="none"/>
                <w:lang w:bidi="ar"/>
              </w:rPr>
              <w:t>3</w:t>
            </w:r>
          </w:p>
        </w:tc>
        <w:tc>
          <w:tcPr>
            <w:tcW w:w="4903" w:type="dxa"/>
            <w:gridSpan w:val="2"/>
            <w:vAlign w:val="center"/>
          </w:tcPr>
          <w:p>
            <w:pPr>
              <w:spacing w:line="360" w:lineRule="exact"/>
              <w:jc w:val="center"/>
              <w:rPr>
                <w:rFonts w:eastAsia="方正仿宋简体"/>
                <w:bCs/>
                <w:color w:val="auto"/>
                <w:sz w:val="28"/>
                <w:szCs w:val="28"/>
                <w:highlight w:val="none"/>
                <w:lang w:bidi="ar"/>
              </w:rPr>
            </w:pPr>
            <w:r>
              <w:rPr>
                <w:rFonts w:eastAsia="方正仿宋简体"/>
                <w:bCs/>
                <w:color w:val="auto"/>
                <w:sz w:val="28"/>
                <w:szCs w:val="28"/>
                <w:highlight w:val="none"/>
                <w:lang w:bidi="ar"/>
              </w:rPr>
              <w:t>中国版权金奖</w:t>
            </w:r>
          </w:p>
        </w:tc>
        <w:tc>
          <w:tcPr>
            <w:tcW w:w="2148" w:type="dxa"/>
            <w:vAlign w:val="center"/>
          </w:tcPr>
          <w:p>
            <w:pPr>
              <w:spacing w:line="360" w:lineRule="exact"/>
              <w:jc w:val="center"/>
              <w:rPr>
                <w:rFonts w:eastAsia="方正仿宋简体"/>
                <w:bCs/>
                <w:color w:val="auto"/>
                <w:sz w:val="28"/>
                <w:szCs w:val="28"/>
                <w:highlight w:val="none"/>
                <w:lang w:bidi="ar"/>
              </w:rPr>
            </w:pPr>
            <w:r>
              <w:rPr>
                <w:rFonts w:hint="eastAsia" w:eastAsia="方正仿宋简体"/>
                <w:bCs/>
                <w:color w:val="auto"/>
                <w:sz w:val="28"/>
                <w:szCs w:val="28"/>
                <w:highlight w:val="none"/>
                <w:lang w:bidi="ar"/>
              </w:rPr>
              <w:t>100万元</w:t>
            </w:r>
          </w:p>
        </w:tc>
      </w:tr>
    </w:tbl>
    <w:p>
      <w:pPr>
        <w:pStyle w:val="34"/>
        <w:bidi w:val="0"/>
        <w:rPr>
          <w:lang w:val="en-US" w:eastAsia="zh-CN"/>
        </w:rPr>
      </w:pPr>
      <w:r>
        <w:rPr>
          <w:rFonts w:hint="eastAsia"/>
          <w:lang w:val="en-US" w:eastAsia="zh-CN"/>
        </w:rPr>
        <w:t>6.申报条件：</w:t>
      </w:r>
    </w:p>
    <w:p>
      <w:pPr>
        <w:pStyle w:val="34"/>
        <w:bidi w:val="0"/>
        <w:rPr>
          <w:lang w:val="en-US" w:eastAsia="zh-CN"/>
        </w:rPr>
      </w:pPr>
      <w:r>
        <w:rPr>
          <w:rFonts w:hint="eastAsia"/>
          <w:lang w:val="en-US" w:eastAsia="zh-CN"/>
        </w:rPr>
        <w:t>（1）申报主体首次</w:t>
      </w:r>
      <w:r>
        <w:rPr>
          <w:lang w:val="en-US" w:eastAsia="zh-CN"/>
        </w:rPr>
        <w:t>获得中国专利奖、中国外观设计奖、中国版权金奖。</w:t>
      </w:r>
    </w:p>
    <w:p>
      <w:pPr>
        <w:pStyle w:val="34"/>
        <w:bidi w:val="0"/>
        <w:rPr>
          <w:lang w:val="en-US" w:eastAsia="zh-CN"/>
        </w:rPr>
      </w:pPr>
      <w:r>
        <w:rPr>
          <w:rFonts w:hint="eastAsia"/>
          <w:lang w:val="en-US" w:eastAsia="zh-CN"/>
        </w:rPr>
        <w:t>（2）本政策事项</w:t>
      </w:r>
      <w:r>
        <w:rPr>
          <w:lang w:val="en-US" w:eastAsia="zh-CN"/>
        </w:rPr>
        <w:t>涉及的知识产权法律状态应为有效且不涉及知识产权侵权纠纷。专利纠纷为无效宣告类纠纷的，</w:t>
      </w:r>
      <w:r>
        <w:rPr>
          <w:rFonts w:hint="eastAsia"/>
          <w:lang w:val="en-US" w:eastAsia="zh-CN"/>
        </w:rPr>
        <w:t>申报主体</w:t>
      </w:r>
      <w:r>
        <w:rPr>
          <w:lang w:val="en-US" w:eastAsia="zh-CN"/>
        </w:rPr>
        <w:t>若能提供胜诉依据，则可以申报本</w:t>
      </w:r>
      <w:r>
        <w:rPr>
          <w:rFonts w:hint="eastAsia"/>
          <w:lang w:val="en-US" w:eastAsia="zh-CN"/>
        </w:rPr>
        <w:t>事项</w:t>
      </w:r>
      <w:r>
        <w:rPr>
          <w:lang w:val="en-US" w:eastAsia="zh-CN"/>
        </w:rPr>
        <w:t>。</w:t>
      </w:r>
    </w:p>
    <w:p>
      <w:pPr>
        <w:pStyle w:val="34"/>
        <w:bidi w:val="0"/>
        <w:rPr>
          <w:rFonts w:hint="eastAsia"/>
          <w:lang w:val="en-US" w:eastAsia="zh-CN"/>
        </w:rPr>
      </w:pPr>
      <w:r>
        <w:rPr>
          <w:rFonts w:hint="eastAsia"/>
          <w:lang w:val="en-US" w:eastAsia="zh-CN"/>
        </w:rPr>
        <w:t>7.办理方式：惠企事项责任单位通过温江区智慧企业服务平台审核办理。</w:t>
      </w:r>
    </w:p>
    <w:p>
      <w:pPr>
        <w:pStyle w:val="34"/>
        <w:bidi w:val="0"/>
        <w:rPr>
          <w:rFonts w:hint="default"/>
          <w:lang w:val="en-US" w:eastAsia="zh-CN"/>
        </w:rPr>
      </w:pPr>
      <w:r>
        <w:rPr>
          <w:rFonts w:hint="eastAsia"/>
          <w:lang w:val="en-US" w:eastAsia="zh-CN"/>
        </w:rPr>
        <w:t>8.惠企事项责任部门：</w:t>
      </w:r>
      <w:r>
        <w:rPr>
          <w:rFonts w:hint="default"/>
          <w:lang w:val="en-US" w:eastAsia="zh-CN"/>
        </w:rPr>
        <w:t>区市场监管局（区知识产权局）</w:t>
      </w:r>
      <w:r>
        <w:rPr>
          <w:rFonts w:hint="eastAsia"/>
          <w:lang w:val="en-US" w:eastAsia="zh-CN"/>
        </w:rPr>
        <w:t>。</w:t>
      </w:r>
    </w:p>
    <w:p>
      <w:pPr>
        <w:pStyle w:val="34"/>
        <w:bidi w:val="0"/>
        <w:rPr>
          <w:rFonts w:hint="eastAsia"/>
          <w:lang w:val="en-US" w:eastAsia="zh-CN"/>
        </w:rPr>
      </w:pPr>
      <w:r>
        <w:rPr>
          <w:rFonts w:hint="eastAsia"/>
          <w:lang w:val="en-US" w:eastAsia="zh-CN"/>
        </w:rPr>
        <w:t>9.责任科室：知识产权管理保护科。</w:t>
      </w:r>
    </w:p>
    <w:p>
      <w:pPr>
        <w:pStyle w:val="34"/>
        <w:bidi w:val="0"/>
        <w:rPr>
          <w:lang w:val="en-US" w:eastAsia="zh-CN"/>
        </w:rPr>
      </w:pPr>
      <w:r>
        <w:rPr>
          <w:rFonts w:hint="eastAsia"/>
          <w:lang w:val="en-US" w:eastAsia="zh-CN"/>
        </w:rPr>
        <w:t>10.联系方式：</w:t>
      </w:r>
      <w:r>
        <w:rPr>
          <w:rFonts w:hint="default"/>
          <w:lang w:val="en-US" w:eastAsia="zh-CN"/>
        </w:rPr>
        <w:t>028</w:t>
      </w:r>
      <w:r>
        <w:rPr>
          <w:rFonts w:hint="eastAsia"/>
          <w:lang w:val="en-US" w:eastAsia="zh-CN"/>
        </w:rPr>
        <w:t>—</w:t>
      </w:r>
      <w:r>
        <w:rPr>
          <w:rFonts w:hint="default"/>
          <w:lang w:val="en-US" w:eastAsia="zh-CN"/>
        </w:rPr>
        <w:t>82746023</w:t>
      </w:r>
      <w:r>
        <w:rPr>
          <w:rFonts w:hint="eastAsia"/>
          <w:lang w:val="en-US" w:eastAsia="zh-CN"/>
        </w:rPr>
        <w:t>。</w:t>
      </w:r>
    </w:p>
    <w:p>
      <w:pPr>
        <w:pStyle w:val="4"/>
        <w:bidi w:val="0"/>
        <w:rPr>
          <w:rFonts w:hint="default"/>
          <w:lang w:val="en-US" w:eastAsia="zh-CN"/>
        </w:rPr>
      </w:pPr>
      <w:r>
        <w:rPr>
          <w:rFonts w:hint="eastAsia"/>
          <w:lang w:val="en-US" w:eastAsia="zh-CN"/>
        </w:rPr>
        <w:t>（三）</w:t>
      </w:r>
      <w:r>
        <w:rPr>
          <w:rFonts w:hint="default"/>
          <w:lang w:val="en-US" w:eastAsia="zh-CN"/>
        </w:rPr>
        <w:t>支持创新创业活力提升</w:t>
      </w:r>
      <w:r>
        <w:rPr>
          <w:rFonts w:hint="eastAsia"/>
          <w:lang w:val="en-US" w:eastAsia="zh-CN"/>
        </w:rPr>
        <w:t>（获得中国驰名商标）</w:t>
      </w:r>
    </w:p>
    <w:p>
      <w:pPr>
        <w:pStyle w:val="34"/>
        <w:bidi w:val="0"/>
        <w:rPr>
          <w:lang w:val="en-US" w:eastAsia="zh-CN"/>
        </w:rPr>
      </w:pPr>
      <w:r>
        <w:rPr>
          <w:rFonts w:hint="eastAsia"/>
          <w:lang w:val="en-US" w:eastAsia="zh-CN"/>
        </w:rPr>
        <w:t>1.政策依据：《成都市温江区促进知识产权创新发展政策措施（修订）》（温府</w:t>
      </w:r>
      <w:r>
        <w:rPr>
          <w:lang w:val="en-US" w:eastAsia="zh-CN"/>
        </w:rPr>
        <w:t>规〔202</w:t>
      </w:r>
      <w:r>
        <w:rPr>
          <w:rFonts w:hint="eastAsia"/>
          <w:lang w:val="en-US" w:eastAsia="zh-CN"/>
        </w:rPr>
        <w:t>5</w:t>
      </w:r>
      <w:r>
        <w:rPr>
          <w:lang w:val="en-US" w:eastAsia="zh-CN"/>
        </w:rPr>
        <w:t>〕</w:t>
      </w:r>
      <w:r>
        <w:rPr>
          <w:rFonts w:hint="eastAsia"/>
          <w:lang w:val="en-US" w:eastAsia="zh-CN"/>
        </w:rPr>
        <w:t>1号）第二条支持方向二。</w:t>
      </w:r>
    </w:p>
    <w:p>
      <w:pPr>
        <w:pStyle w:val="34"/>
        <w:bidi w:val="0"/>
        <w:rPr>
          <w:lang w:val="en-US" w:eastAsia="zh-CN"/>
        </w:rPr>
      </w:pPr>
      <w:r>
        <w:rPr>
          <w:rFonts w:hint="eastAsia"/>
          <w:lang w:val="en-US" w:eastAsia="zh-CN"/>
        </w:rPr>
        <w:t>2.事项内容：</w:t>
      </w:r>
      <w:r>
        <w:rPr>
          <w:lang w:val="en-US" w:eastAsia="zh-CN"/>
        </w:rPr>
        <w:t>对</w:t>
      </w:r>
      <w:r>
        <w:rPr>
          <w:rFonts w:hint="eastAsia"/>
          <w:lang w:val="en-US" w:eastAsia="zh-CN"/>
        </w:rPr>
        <w:t>首次</w:t>
      </w:r>
      <w:r>
        <w:rPr>
          <w:lang w:val="en-US" w:eastAsia="zh-CN"/>
        </w:rPr>
        <w:t>获得</w:t>
      </w:r>
      <w:bookmarkStart w:id="4" w:name="OLE_LINK98"/>
      <w:r>
        <w:rPr>
          <w:rFonts w:hint="eastAsia"/>
          <w:lang w:val="en-US" w:eastAsia="zh-CN"/>
        </w:rPr>
        <w:t>中国驰名商标</w:t>
      </w:r>
      <w:bookmarkEnd w:id="4"/>
      <w:r>
        <w:rPr>
          <w:lang w:val="en-US" w:eastAsia="zh-CN"/>
        </w:rPr>
        <w:t>的</w:t>
      </w:r>
      <w:r>
        <w:rPr>
          <w:rFonts w:hint="eastAsia"/>
          <w:lang w:val="en-US" w:eastAsia="zh-CN"/>
        </w:rPr>
        <w:t>企事业单位</w:t>
      </w:r>
      <w:r>
        <w:rPr>
          <w:lang w:val="en-US" w:eastAsia="zh-CN"/>
        </w:rPr>
        <w:t>给予100万元</w:t>
      </w:r>
      <w:r>
        <w:rPr>
          <w:rFonts w:hint="eastAsia"/>
          <w:lang w:val="en-US" w:eastAsia="zh-CN"/>
        </w:rPr>
        <w:t>一次性资助。</w:t>
      </w:r>
    </w:p>
    <w:p>
      <w:pPr>
        <w:pStyle w:val="34"/>
        <w:bidi w:val="0"/>
        <w:rPr>
          <w:lang w:val="en-US" w:eastAsia="zh-CN"/>
        </w:rPr>
      </w:pPr>
      <w:r>
        <w:rPr>
          <w:rFonts w:hint="eastAsia"/>
          <w:lang w:val="en-US" w:eastAsia="zh-CN"/>
        </w:rPr>
        <w:t>3.事项分类：易申快享。</w:t>
      </w:r>
    </w:p>
    <w:p>
      <w:pPr>
        <w:pStyle w:val="34"/>
        <w:bidi w:val="0"/>
        <w:rPr>
          <w:lang w:val="en-US" w:eastAsia="zh-CN"/>
        </w:rPr>
      </w:pPr>
      <w:r>
        <w:rPr>
          <w:rFonts w:hint="eastAsia"/>
          <w:lang w:val="en-US" w:eastAsia="zh-CN"/>
        </w:rPr>
        <w:t>4.支持对象：住所或主要生产、经营活动在温江区的企事业单位。</w:t>
      </w:r>
    </w:p>
    <w:p>
      <w:pPr>
        <w:pStyle w:val="34"/>
        <w:bidi w:val="0"/>
        <w:rPr>
          <w:lang w:val="en-US" w:eastAsia="zh-CN"/>
        </w:rPr>
      </w:pPr>
      <w:r>
        <w:rPr>
          <w:rFonts w:hint="eastAsia"/>
          <w:lang w:val="en-US" w:eastAsia="zh-CN"/>
        </w:rPr>
        <w:t>5.支持标准：</w:t>
      </w:r>
      <w:r>
        <w:rPr>
          <w:lang w:val="en-US" w:eastAsia="zh-CN"/>
        </w:rPr>
        <w:t>100万元</w:t>
      </w:r>
      <w:r>
        <w:rPr>
          <w:rFonts w:hint="eastAsia"/>
          <w:lang w:val="en-US" w:eastAsia="zh-CN"/>
        </w:rPr>
        <w:t>一次性资助。</w:t>
      </w:r>
    </w:p>
    <w:p>
      <w:pPr>
        <w:pStyle w:val="34"/>
        <w:bidi w:val="0"/>
        <w:rPr>
          <w:lang w:val="en-US" w:eastAsia="zh-CN"/>
        </w:rPr>
      </w:pPr>
      <w:r>
        <w:rPr>
          <w:rFonts w:hint="eastAsia"/>
          <w:lang w:val="en-US" w:eastAsia="zh-CN"/>
        </w:rPr>
        <w:t>6.申报条件：</w:t>
      </w:r>
    </w:p>
    <w:p>
      <w:pPr>
        <w:pStyle w:val="34"/>
        <w:bidi w:val="0"/>
        <w:rPr>
          <w:lang w:val="en-US" w:eastAsia="zh-CN"/>
        </w:rPr>
      </w:pPr>
      <w:r>
        <w:rPr>
          <w:rFonts w:hint="eastAsia"/>
          <w:lang w:val="en-US" w:eastAsia="zh-CN"/>
        </w:rPr>
        <w:t>（1）申报主体首次</w:t>
      </w:r>
      <w:r>
        <w:rPr>
          <w:lang w:val="en-US" w:eastAsia="zh-CN"/>
        </w:rPr>
        <w:t>获得中国驰名商标。</w:t>
      </w:r>
    </w:p>
    <w:p>
      <w:pPr>
        <w:pStyle w:val="34"/>
        <w:bidi w:val="0"/>
        <w:rPr>
          <w:lang w:val="en-US" w:eastAsia="zh-CN"/>
        </w:rPr>
      </w:pPr>
      <w:r>
        <w:rPr>
          <w:rFonts w:hint="eastAsia"/>
          <w:lang w:val="en-US" w:eastAsia="zh-CN"/>
        </w:rPr>
        <w:t>（2）本政策事项</w:t>
      </w:r>
      <w:r>
        <w:rPr>
          <w:lang w:val="en-US" w:eastAsia="zh-CN"/>
        </w:rPr>
        <w:t>涉及的知识产权法律状态应为有效且不涉及知识产权侵权纠纷。</w:t>
      </w:r>
    </w:p>
    <w:p>
      <w:pPr>
        <w:pStyle w:val="34"/>
        <w:bidi w:val="0"/>
        <w:rPr>
          <w:lang w:val="en-US" w:eastAsia="zh-CN"/>
        </w:rPr>
      </w:pPr>
      <w:r>
        <w:rPr>
          <w:rFonts w:hint="eastAsia"/>
          <w:lang w:val="en-US" w:eastAsia="zh-CN"/>
        </w:rPr>
        <w:t>7.申报材料：</w:t>
      </w:r>
    </w:p>
    <w:p>
      <w:pPr>
        <w:pStyle w:val="34"/>
        <w:bidi w:val="0"/>
        <w:rPr>
          <w:lang w:val="en-US" w:eastAsia="zh-CN"/>
        </w:rPr>
      </w:pPr>
      <w:r>
        <w:rPr>
          <w:rFonts w:hint="eastAsia"/>
          <w:lang w:val="en-US" w:eastAsia="zh-CN"/>
        </w:rPr>
        <w:t>（1）中国驰名商标</w:t>
      </w:r>
      <w:r>
        <w:rPr>
          <w:lang w:val="en-US" w:eastAsia="zh-CN"/>
        </w:rPr>
        <w:t>证书</w:t>
      </w:r>
      <w:r>
        <w:rPr>
          <w:rFonts w:hint="eastAsia"/>
          <w:lang w:val="en-US" w:eastAsia="zh-CN"/>
        </w:rPr>
        <w:t>或</w:t>
      </w:r>
      <w:r>
        <w:rPr>
          <w:lang w:val="en-US" w:eastAsia="zh-CN"/>
        </w:rPr>
        <w:t>相关</w:t>
      </w:r>
      <w:r>
        <w:rPr>
          <w:rFonts w:hint="eastAsia"/>
          <w:lang w:val="en-US" w:eastAsia="zh-CN"/>
        </w:rPr>
        <w:t>认定</w:t>
      </w:r>
      <w:r>
        <w:rPr>
          <w:lang w:val="en-US" w:eastAsia="zh-CN"/>
        </w:rPr>
        <w:t>证明材料</w:t>
      </w:r>
      <w:r>
        <w:rPr>
          <w:rFonts w:hint="eastAsia"/>
          <w:lang w:val="en-US" w:eastAsia="zh-CN"/>
        </w:rPr>
        <w:t>。</w:t>
      </w:r>
    </w:p>
    <w:p>
      <w:pPr>
        <w:pStyle w:val="34"/>
        <w:bidi w:val="0"/>
        <w:rPr>
          <w:lang w:val="en-US" w:eastAsia="zh-CN"/>
        </w:rPr>
      </w:pPr>
      <w:r>
        <w:rPr>
          <w:rFonts w:hint="eastAsia"/>
          <w:lang w:val="en-US" w:eastAsia="zh-CN"/>
        </w:rPr>
        <w:t>（2）</w:t>
      </w:r>
      <w:r>
        <w:rPr>
          <w:lang w:val="en-US" w:eastAsia="zh-CN"/>
        </w:rPr>
        <w:t>诚信申报承诺书。</w:t>
      </w:r>
    </w:p>
    <w:p>
      <w:pPr>
        <w:pStyle w:val="34"/>
        <w:bidi w:val="0"/>
        <w:rPr>
          <w:lang w:val="en-US" w:eastAsia="zh-CN"/>
        </w:rPr>
      </w:pPr>
      <w:r>
        <w:rPr>
          <w:rFonts w:hint="eastAsia"/>
          <w:lang w:val="en-US" w:eastAsia="zh-CN"/>
        </w:rPr>
        <w:t>8.申报渠道：本政策事项申报通过温江区智慧企业服务平台申报，申报主体按照政策申报通知要求上传申报材料。</w:t>
      </w:r>
    </w:p>
    <w:p>
      <w:pPr>
        <w:pStyle w:val="34"/>
        <w:bidi w:val="0"/>
        <w:rPr>
          <w:lang w:val="en-US" w:eastAsia="zh-CN"/>
        </w:rPr>
      </w:pPr>
      <w:r>
        <w:rPr>
          <w:rFonts w:hint="eastAsia"/>
          <w:lang w:val="en-US" w:eastAsia="zh-CN"/>
        </w:rPr>
        <w:t>9.惠企事项责任部门：</w:t>
      </w:r>
      <w:r>
        <w:rPr>
          <w:lang w:val="en-US" w:eastAsia="zh-CN"/>
        </w:rPr>
        <w:t>区市场监管局（区知识产权局）</w:t>
      </w:r>
      <w:r>
        <w:rPr>
          <w:rFonts w:hint="eastAsia"/>
          <w:lang w:val="en-US" w:eastAsia="zh-CN"/>
        </w:rPr>
        <w:t>。</w:t>
      </w:r>
    </w:p>
    <w:p>
      <w:pPr>
        <w:pStyle w:val="34"/>
        <w:bidi w:val="0"/>
        <w:rPr>
          <w:lang w:val="en-US" w:eastAsia="zh-CN"/>
        </w:rPr>
      </w:pPr>
      <w:r>
        <w:rPr>
          <w:rFonts w:hint="eastAsia"/>
          <w:lang w:val="en-US" w:eastAsia="zh-CN"/>
        </w:rPr>
        <w:t>10.责任科室：知识产权管理保护科。</w:t>
      </w:r>
    </w:p>
    <w:p>
      <w:pPr>
        <w:pStyle w:val="34"/>
        <w:bidi w:val="0"/>
        <w:rPr>
          <w:lang w:val="en-US" w:eastAsia="zh-CN"/>
        </w:rPr>
      </w:pPr>
      <w:r>
        <w:rPr>
          <w:rFonts w:hint="eastAsia"/>
          <w:lang w:val="en-US" w:eastAsia="zh-CN"/>
        </w:rPr>
        <w:t>11.联系方式：</w:t>
      </w:r>
      <w:r>
        <w:rPr>
          <w:lang w:val="en-US" w:eastAsia="zh-CN"/>
        </w:rPr>
        <w:t>028</w:t>
      </w:r>
      <w:r>
        <w:rPr>
          <w:rFonts w:hint="eastAsia"/>
          <w:lang w:val="en-US" w:eastAsia="zh-CN"/>
        </w:rPr>
        <w:t>—</w:t>
      </w:r>
      <w:r>
        <w:rPr>
          <w:lang w:val="en-US" w:eastAsia="zh-CN"/>
        </w:rPr>
        <w:t>82746023</w:t>
      </w:r>
      <w:r>
        <w:rPr>
          <w:rFonts w:hint="eastAsia"/>
          <w:lang w:val="en-US" w:eastAsia="zh-CN"/>
        </w:rPr>
        <w:t>。</w:t>
      </w:r>
    </w:p>
    <w:p>
      <w:pPr>
        <w:pStyle w:val="3"/>
        <w:bidi w:val="0"/>
        <w:rPr>
          <w:rFonts w:hint="default"/>
          <w:lang w:val="en-US" w:eastAsia="zh-CN"/>
        </w:rPr>
      </w:pPr>
      <w:r>
        <w:rPr>
          <w:rFonts w:hint="eastAsia"/>
          <w:lang w:val="en-US" w:eastAsia="zh-CN"/>
        </w:rPr>
        <w:t>二、促进知识产权高效益运用</w:t>
      </w:r>
    </w:p>
    <w:p>
      <w:pPr>
        <w:pStyle w:val="4"/>
        <w:bidi w:val="0"/>
        <w:rPr>
          <w:rFonts w:hint="default"/>
          <w:lang w:val="en-US" w:eastAsia="zh-CN"/>
        </w:rPr>
      </w:pPr>
      <w:r>
        <w:rPr>
          <w:rFonts w:hint="eastAsia"/>
          <w:lang w:val="en-US" w:eastAsia="zh-CN"/>
        </w:rPr>
        <w:t>（一）</w:t>
      </w:r>
      <w:r>
        <w:rPr>
          <w:rFonts w:hint="default"/>
          <w:lang w:val="en-US" w:eastAsia="zh-CN"/>
        </w:rPr>
        <w:t>支持地理标志高质量发展</w:t>
      </w:r>
      <w:r>
        <w:rPr>
          <w:rFonts w:hint="eastAsia"/>
          <w:lang w:val="en-US" w:eastAsia="zh-CN"/>
        </w:rPr>
        <w:t>（获得</w:t>
      </w:r>
      <w:r>
        <w:rPr>
          <w:rFonts w:hint="default"/>
          <w:lang w:val="en-US" w:eastAsia="zh-CN"/>
        </w:rPr>
        <w:t>地理标志产品国际互认互保</w:t>
      </w:r>
      <w:r>
        <w:rPr>
          <w:rFonts w:hint="eastAsia"/>
          <w:lang w:val="en-US" w:eastAsia="zh-CN"/>
        </w:rPr>
        <w:t>）</w:t>
      </w:r>
    </w:p>
    <w:p>
      <w:pPr>
        <w:pStyle w:val="34"/>
        <w:bidi w:val="0"/>
        <w:rPr>
          <w:lang w:val="en-US" w:eastAsia="zh-CN"/>
        </w:rPr>
      </w:pPr>
      <w:r>
        <w:rPr>
          <w:rFonts w:hint="eastAsia"/>
          <w:lang w:val="en-US" w:eastAsia="zh-CN"/>
        </w:rPr>
        <w:t>1.政策依据：《成都市温江区促进知识产权创新发展政策措施（修订）》（温府规〔2025〕1号）第三条支持方向一。</w:t>
      </w:r>
    </w:p>
    <w:p>
      <w:pPr>
        <w:pStyle w:val="34"/>
        <w:bidi w:val="0"/>
        <w:rPr>
          <w:lang w:val="en-US" w:eastAsia="zh-CN"/>
        </w:rPr>
      </w:pPr>
      <w:r>
        <w:rPr>
          <w:rFonts w:hint="eastAsia"/>
          <w:lang w:val="en-US" w:eastAsia="zh-CN"/>
        </w:rPr>
        <w:t>2.事项内容：对获得地理标志产品国际互认互保的权利人，每个给予5万元一次性资助。</w:t>
      </w:r>
    </w:p>
    <w:p>
      <w:pPr>
        <w:pStyle w:val="34"/>
        <w:bidi w:val="0"/>
        <w:rPr>
          <w:lang w:val="en-US" w:eastAsia="zh-CN"/>
        </w:rPr>
      </w:pPr>
      <w:r>
        <w:rPr>
          <w:rFonts w:hint="eastAsia"/>
          <w:lang w:val="en-US" w:eastAsia="zh-CN"/>
        </w:rPr>
        <w:t>3.事项分类：免申即享。</w:t>
      </w:r>
    </w:p>
    <w:p>
      <w:pPr>
        <w:pStyle w:val="34"/>
        <w:bidi w:val="0"/>
        <w:rPr>
          <w:lang w:val="en-US" w:eastAsia="zh-CN"/>
        </w:rPr>
      </w:pPr>
      <w:r>
        <w:rPr>
          <w:rFonts w:hint="eastAsia"/>
          <w:lang w:val="en-US" w:eastAsia="zh-CN"/>
        </w:rPr>
        <w:t>4.支持对象：住所或主要生产、经营活动在温江区</w:t>
      </w:r>
      <w:r>
        <w:rPr>
          <w:lang w:val="en-US" w:eastAsia="zh-CN"/>
        </w:rPr>
        <w:t>的</w:t>
      </w:r>
      <w:r>
        <w:rPr>
          <w:rFonts w:hint="eastAsia"/>
          <w:lang w:val="en-US" w:eastAsia="zh-CN"/>
        </w:rPr>
        <w:t>地理标志产品（产业）协会、商会</w:t>
      </w:r>
      <w:r>
        <w:rPr>
          <w:lang w:val="en-US" w:eastAsia="zh-CN"/>
        </w:rPr>
        <w:t>。</w:t>
      </w:r>
    </w:p>
    <w:p>
      <w:pPr>
        <w:pStyle w:val="34"/>
        <w:bidi w:val="0"/>
        <w:rPr>
          <w:lang w:val="en-US" w:eastAsia="zh-CN"/>
        </w:rPr>
      </w:pPr>
      <w:r>
        <w:rPr>
          <w:rFonts w:hint="eastAsia"/>
          <w:lang w:val="en-US" w:eastAsia="zh-CN"/>
        </w:rPr>
        <w:t>5.支持标准：</w:t>
      </w:r>
      <w:r>
        <w:rPr>
          <w:lang w:val="en-US" w:eastAsia="zh-CN"/>
        </w:rPr>
        <w:t>5万元</w:t>
      </w:r>
      <w:r>
        <w:rPr>
          <w:rFonts w:hint="eastAsia"/>
          <w:lang w:val="en-US" w:eastAsia="zh-CN"/>
        </w:rPr>
        <w:t>一次性资助</w:t>
      </w:r>
      <w:r>
        <w:rPr>
          <w:lang w:val="en-US" w:eastAsia="zh-CN"/>
        </w:rPr>
        <w:t>。</w:t>
      </w:r>
    </w:p>
    <w:p>
      <w:pPr>
        <w:pStyle w:val="34"/>
        <w:bidi w:val="0"/>
        <w:rPr>
          <w:lang w:val="en-US" w:eastAsia="zh-CN"/>
        </w:rPr>
      </w:pPr>
      <w:r>
        <w:rPr>
          <w:rFonts w:hint="eastAsia"/>
          <w:lang w:val="en-US" w:eastAsia="zh-CN"/>
        </w:rPr>
        <w:t>6.申报条件：</w:t>
      </w:r>
      <w:r>
        <w:rPr>
          <w:lang w:val="en-US" w:eastAsia="zh-CN"/>
        </w:rPr>
        <w:t>地理标志产品获得国际互认互保。</w:t>
      </w:r>
    </w:p>
    <w:p>
      <w:pPr>
        <w:pStyle w:val="34"/>
        <w:bidi w:val="0"/>
        <w:rPr>
          <w:rFonts w:hint="eastAsia"/>
          <w:lang w:val="en-US" w:eastAsia="zh-CN"/>
        </w:rPr>
      </w:pPr>
      <w:r>
        <w:rPr>
          <w:rFonts w:hint="eastAsia"/>
          <w:lang w:val="en-US" w:eastAsia="zh-CN"/>
        </w:rPr>
        <w:t>7.办理方式：惠企事项责任单位通过温江区智慧企业服务平台审核办理。</w:t>
      </w:r>
    </w:p>
    <w:p>
      <w:pPr>
        <w:pStyle w:val="34"/>
        <w:bidi w:val="0"/>
        <w:rPr>
          <w:rFonts w:hint="default"/>
          <w:lang w:val="en-US" w:eastAsia="zh-CN"/>
        </w:rPr>
      </w:pPr>
      <w:r>
        <w:rPr>
          <w:rFonts w:hint="eastAsia"/>
          <w:lang w:val="en-US" w:eastAsia="zh-CN"/>
        </w:rPr>
        <w:t>8.惠企事项责任部门：</w:t>
      </w:r>
      <w:r>
        <w:rPr>
          <w:rFonts w:hint="default"/>
          <w:lang w:val="en-US" w:eastAsia="zh-CN"/>
        </w:rPr>
        <w:t>区市场监管局（区知识产权局）</w:t>
      </w:r>
      <w:r>
        <w:rPr>
          <w:rFonts w:hint="eastAsia"/>
          <w:lang w:val="en-US" w:eastAsia="zh-CN"/>
        </w:rPr>
        <w:t>。</w:t>
      </w:r>
    </w:p>
    <w:p>
      <w:pPr>
        <w:pStyle w:val="34"/>
        <w:bidi w:val="0"/>
        <w:rPr>
          <w:rFonts w:hint="eastAsia"/>
          <w:lang w:val="en-US" w:eastAsia="zh-CN"/>
        </w:rPr>
      </w:pPr>
      <w:r>
        <w:rPr>
          <w:rFonts w:hint="eastAsia"/>
          <w:lang w:val="en-US" w:eastAsia="zh-CN"/>
        </w:rPr>
        <w:t>9.责任科室：知识产权管理保护科。</w:t>
      </w:r>
    </w:p>
    <w:p>
      <w:pPr>
        <w:pStyle w:val="34"/>
        <w:bidi w:val="0"/>
        <w:rPr>
          <w:rFonts w:hint="eastAsia"/>
          <w:lang w:val="en-US" w:eastAsia="zh-CN"/>
        </w:rPr>
      </w:pPr>
      <w:r>
        <w:rPr>
          <w:rFonts w:hint="eastAsia"/>
          <w:lang w:val="en-US" w:eastAsia="zh-CN"/>
        </w:rPr>
        <w:t>10.联系方式：</w:t>
      </w:r>
      <w:r>
        <w:rPr>
          <w:rFonts w:hint="default"/>
          <w:lang w:val="en-US" w:eastAsia="zh-CN"/>
        </w:rPr>
        <w:t>028</w:t>
      </w:r>
      <w:r>
        <w:rPr>
          <w:rFonts w:hint="eastAsia"/>
          <w:lang w:val="en-US" w:eastAsia="zh-CN"/>
        </w:rPr>
        <w:t>—</w:t>
      </w:r>
      <w:r>
        <w:rPr>
          <w:rFonts w:hint="default"/>
          <w:lang w:val="en-US" w:eastAsia="zh-CN"/>
        </w:rPr>
        <w:t>82746023</w:t>
      </w:r>
      <w:r>
        <w:rPr>
          <w:rFonts w:hint="eastAsia"/>
          <w:lang w:val="en-US" w:eastAsia="zh-CN"/>
        </w:rPr>
        <w:t>。</w:t>
      </w:r>
    </w:p>
    <w:p>
      <w:pPr>
        <w:pStyle w:val="4"/>
        <w:bidi w:val="0"/>
        <w:rPr>
          <w:rFonts w:hint="default"/>
          <w:lang w:val="en-US" w:eastAsia="zh-CN"/>
        </w:rPr>
      </w:pPr>
      <w:r>
        <w:rPr>
          <w:rFonts w:hint="eastAsia"/>
          <w:lang w:val="en-US" w:eastAsia="zh-CN"/>
        </w:rPr>
        <w:t>（二）</w:t>
      </w:r>
      <w:r>
        <w:rPr>
          <w:rFonts w:hint="default"/>
          <w:lang w:val="en-US" w:eastAsia="zh-CN"/>
        </w:rPr>
        <w:t>支持地理标志高质量发展</w:t>
      </w:r>
      <w:r>
        <w:rPr>
          <w:rFonts w:hint="eastAsia"/>
          <w:lang w:val="en-US" w:eastAsia="zh-CN"/>
        </w:rPr>
        <w:t>（</w:t>
      </w:r>
      <w:r>
        <w:rPr>
          <w:rFonts w:hint="default"/>
          <w:lang w:val="en-US" w:eastAsia="zh-CN"/>
        </w:rPr>
        <w:t>地理标志产品产业化生产经营</w:t>
      </w:r>
      <w:r>
        <w:rPr>
          <w:rFonts w:hint="eastAsia"/>
          <w:lang w:val="en-US" w:eastAsia="zh-CN"/>
        </w:rPr>
        <w:t>）</w:t>
      </w:r>
    </w:p>
    <w:p>
      <w:pPr>
        <w:pStyle w:val="34"/>
        <w:bidi w:val="0"/>
        <w:rPr>
          <w:lang w:val="en-US" w:eastAsia="zh-CN"/>
        </w:rPr>
      </w:pPr>
      <w:r>
        <w:rPr>
          <w:rFonts w:hint="eastAsia"/>
          <w:lang w:val="en-US" w:eastAsia="zh-CN"/>
        </w:rPr>
        <w:t>1.政策依据：《成都市温江区促进知识产权创新发展政策措施（修订）》（温府规〔2025〕1号）第三条支持方向二。</w:t>
      </w:r>
    </w:p>
    <w:p>
      <w:pPr>
        <w:pStyle w:val="34"/>
        <w:bidi w:val="0"/>
        <w:rPr>
          <w:rFonts w:hint="eastAsia"/>
          <w:lang w:val="en-US" w:eastAsia="zh-CN"/>
        </w:rPr>
      </w:pPr>
      <w:r>
        <w:rPr>
          <w:rFonts w:hint="eastAsia"/>
          <w:lang w:val="en-US" w:eastAsia="zh-CN"/>
        </w:rPr>
        <w:t>2.事项内容：对地理标志产品产业化生产经营的企业，按照该产品年度销售收入的1%，给予每家企业不超过10万元一次性资助。</w:t>
      </w:r>
    </w:p>
    <w:p>
      <w:pPr>
        <w:pStyle w:val="34"/>
        <w:bidi w:val="0"/>
        <w:rPr>
          <w:lang w:val="en-US" w:eastAsia="zh-CN"/>
        </w:rPr>
      </w:pPr>
      <w:r>
        <w:rPr>
          <w:rFonts w:hint="eastAsia"/>
          <w:lang w:val="en-US" w:eastAsia="zh-CN"/>
        </w:rPr>
        <w:t>3.事项分类：易申快享。</w:t>
      </w:r>
    </w:p>
    <w:p>
      <w:pPr>
        <w:pStyle w:val="34"/>
        <w:bidi w:val="0"/>
        <w:rPr>
          <w:lang w:val="en-US" w:eastAsia="zh-CN"/>
        </w:rPr>
      </w:pPr>
      <w:r>
        <w:rPr>
          <w:rFonts w:hint="eastAsia"/>
          <w:lang w:val="en-US" w:eastAsia="zh-CN"/>
        </w:rPr>
        <w:t>4.支持对象：住所或主要生产、经营活动在温江区的企业。</w:t>
      </w:r>
    </w:p>
    <w:p>
      <w:pPr>
        <w:pStyle w:val="34"/>
        <w:bidi w:val="0"/>
        <w:rPr>
          <w:lang w:val="en-US" w:eastAsia="zh-CN"/>
        </w:rPr>
      </w:pPr>
      <w:r>
        <w:rPr>
          <w:rFonts w:hint="eastAsia"/>
          <w:lang w:val="en-US" w:eastAsia="zh-CN"/>
        </w:rPr>
        <w:t>5.支持标准：</w:t>
      </w:r>
      <w:r>
        <w:rPr>
          <w:lang w:val="en-US" w:eastAsia="zh-CN"/>
        </w:rPr>
        <w:t>按照该产品</w:t>
      </w:r>
      <w:r>
        <w:rPr>
          <w:rFonts w:hint="eastAsia"/>
          <w:lang w:val="en-US" w:eastAsia="zh-CN"/>
        </w:rPr>
        <w:t>上一</w:t>
      </w:r>
      <w:r>
        <w:rPr>
          <w:lang w:val="en-US" w:eastAsia="zh-CN"/>
        </w:rPr>
        <w:t>年度销售收入的1%，给予</w:t>
      </w:r>
      <w:r>
        <w:rPr>
          <w:rFonts w:hint="eastAsia"/>
          <w:lang w:val="en-US" w:eastAsia="zh-CN"/>
        </w:rPr>
        <w:t>每家企业</w:t>
      </w:r>
      <w:r>
        <w:rPr>
          <w:lang w:val="en-US" w:eastAsia="zh-CN"/>
        </w:rPr>
        <w:t>不超过10万元</w:t>
      </w:r>
      <w:r>
        <w:rPr>
          <w:rFonts w:hint="eastAsia"/>
          <w:lang w:val="en-US" w:eastAsia="zh-CN"/>
        </w:rPr>
        <w:t>一次性资助</w:t>
      </w:r>
      <w:r>
        <w:rPr>
          <w:lang w:val="en-US" w:eastAsia="zh-CN"/>
        </w:rPr>
        <w:t>。</w:t>
      </w:r>
    </w:p>
    <w:p>
      <w:pPr>
        <w:pStyle w:val="34"/>
        <w:bidi w:val="0"/>
        <w:rPr>
          <w:lang w:val="en-US" w:eastAsia="zh-CN"/>
        </w:rPr>
      </w:pPr>
      <w:r>
        <w:rPr>
          <w:rFonts w:hint="eastAsia"/>
          <w:lang w:val="en-US" w:eastAsia="zh-CN"/>
        </w:rPr>
        <w:t>6.申报条件：</w:t>
      </w:r>
    </w:p>
    <w:p>
      <w:pPr>
        <w:pStyle w:val="34"/>
        <w:bidi w:val="0"/>
        <w:rPr>
          <w:lang w:val="en-US" w:eastAsia="zh-CN"/>
        </w:rPr>
      </w:pPr>
      <w:r>
        <w:rPr>
          <w:rFonts w:hint="eastAsia"/>
          <w:lang w:val="en-US" w:eastAsia="zh-CN"/>
        </w:rPr>
        <w:t>（1）项目涉及的</w:t>
      </w:r>
      <w:r>
        <w:rPr>
          <w:lang w:val="en-US" w:eastAsia="zh-CN"/>
        </w:rPr>
        <w:t>地理标志产品产业化在温江区内实施，且</w:t>
      </w:r>
      <w:r>
        <w:rPr>
          <w:rFonts w:hint="eastAsia"/>
          <w:lang w:val="en-US" w:eastAsia="zh-CN"/>
        </w:rPr>
        <w:t>上一</w:t>
      </w:r>
      <w:r>
        <w:rPr>
          <w:lang w:val="en-US" w:eastAsia="zh-CN"/>
        </w:rPr>
        <w:t>年度销售收入达50万元</w:t>
      </w:r>
      <w:r>
        <w:rPr>
          <w:rFonts w:hint="eastAsia"/>
          <w:lang w:val="en-US" w:eastAsia="zh-CN"/>
        </w:rPr>
        <w:t>以上</w:t>
      </w:r>
      <w:r>
        <w:rPr>
          <w:lang w:val="en-US" w:eastAsia="zh-CN"/>
        </w:rPr>
        <w:t>。</w:t>
      </w:r>
    </w:p>
    <w:p>
      <w:pPr>
        <w:pStyle w:val="34"/>
        <w:bidi w:val="0"/>
        <w:rPr>
          <w:lang w:val="en-US" w:eastAsia="zh-CN"/>
        </w:rPr>
      </w:pPr>
      <w:r>
        <w:rPr>
          <w:rFonts w:hint="eastAsia"/>
          <w:lang w:val="en-US" w:eastAsia="zh-CN"/>
        </w:rPr>
        <w:t>（2）</w:t>
      </w:r>
      <w:r>
        <w:rPr>
          <w:lang w:val="en-US" w:eastAsia="zh-CN"/>
        </w:rPr>
        <w:t>项目涉及的地理标志法律状态应为有效且不涉及知识产权侵权纠纷。</w:t>
      </w:r>
    </w:p>
    <w:p>
      <w:pPr>
        <w:pStyle w:val="34"/>
        <w:bidi w:val="0"/>
        <w:rPr>
          <w:lang w:val="en-US" w:eastAsia="zh-CN"/>
        </w:rPr>
      </w:pPr>
      <w:r>
        <w:rPr>
          <w:rFonts w:hint="eastAsia"/>
          <w:lang w:val="en-US" w:eastAsia="zh-CN"/>
        </w:rPr>
        <w:t>7.申报材料：</w:t>
      </w:r>
    </w:p>
    <w:p>
      <w:pPr>
        <w:pStyle w:val="34"/>
        <w:bidi w:val="0"/>
        <w:rPr>
          <w:lang w:val="en-US" w:eastAsia="zh-CN"/>
        </w:rPr>
      </w:pPr>
      <w:r>
        <w:rPr>
          <w:rFonts w:hint="eastAsia"/>
          <w:lang w:val="en-US" w:eastAsia="zh-CN"/>
        </w:rPr>
        <w:t>（1）</w:t>
      </w:r>
      <w:r>
        <w:rPr>
          <w:lang w:val="en-US" w:eastAsia="zh-CN"/>
        </w:rPr>
        <w:t>地理标志（含地理标志商标、地理标志产品、农产品地理标志等）相关证书扫描件及其他相关证明材料。</w:t>
      </w:r>
    </w:p>
    <w:p>
      <w:pPr>
        <w:pStyle w:val="34"/>
        <w:bidi w:val="0"/>
        <w:rPr>
          <w:lang w:val="en-US" w:eastAsia="zh-CN"/>
        </w:rPr>
      </w:pPr>
      <w:r>
        <w:rPr>
          <w:rFonts w:hint="eastAsia"/>
          <w:lang w:val="en-US" w:eastAsia="zh-CN"/>
        </w:rPr>
        <w:t>（2）</w:t>
      </w:r>
      <w:r>
        <w:rPr>
          <w:lang w:val="en-US" w:eastAsia="zh-CN"/>
        </w:rPr>
        <w:t>地理标志使用许可备案通知书。</w:t>
      </w:r>
    </w:p>
    <w:p>
      <w:pPr>
        <w:pStyle w:val="34"/>
        <w:bidi w:val="0"/>
        <w:rPr>
          <w:rFonts w:hint="eastAsia"/>
          <w:lang w:val="en-US" w:eastAsia="zh-CN"/>
        </w:rPr>
      </w:pPr>
      <w:r>
        <w:rPr>
          <w:rFonts w:hint="eastAsia"/>
          <w:lang w:val="en-US" w:eastAsia="zh-CN"/>
        </w:rPr>
        <w:t>（3）</w:t>
      </w:r>
      <w:r>
        <w:rPr>
          <w:lang w:val="en-US" w:eastAsia="zh-CN"/>
        </w:rPr>
        <w:t>有资质的审计机构出具的可查验的专项审计报告，报告应明确</w:t>
      </w:r>
      <w:r>
        <w:rPr>
          <w:rFonts w:hint="eastAsia"/>
          <w:lang w:val="en-US" w:eastAsia="zh-CN"/>
        </w:rPr>
        <w:t>企业</w:t>
      </w:r>
      <w:r>
        <w:rPr>
          <w:lang w:val="en-US" w:eastAsia="zh-CN"/>
        </w:rPr>
        <w:t>上一年</w:t>
      </w:r>
      <w:r>
        <w:rPr>
          <w:rFonts w:hint="eastAsia"/>
          <w:lang w:val="en-US" w:eastAsia="zh-CN"/>
        </w:rPr>
        <w:t>度地理标志</w:t>
      </w:r>
      <w:r>
        <w:rPr>
          <w:lang w:val="en-US" w:eastAsia="zh-CN"/>
        </w:rPr>
        <w:t>产品销售收入等</w:t>
      </w:r>
      <w:r>
        <w:rPr>
          <w:rFonts w:hint="eastAsia"/>
          <w:lang w:val="en-US" w:eastAsia="zh-CN"/>
        </w:rPr>
        <w:t>信息</w:t>
      </w:r>
      <w:r>
        <w:rPr>
          <w:lang w:val="en-US" w:eastAsia="zh-CN"/>
        </w:rPr>
        <w:t>，同时提供相关的合同、票据</w:t>
      </w:r>
      <w:r>
        <w:rPr>
          <w:rFonts w:hint="eastAsia"/>
          <w:lang w:val="en-US" w:eastAsia="zh-CN"/>
        </w:rPr>
        <w:t>、</w:t>
      </w:r>
      <w:r>
        <w:rPr>
          <w:lang w:val="en-US" w:eastAsia="zh-CN"/>
        </w:rPr>
        <w:t>支付凭证等资料作为附件</w:t>
      </w:r>
      <w:r>
        <w:rPr>
          <w:rFonts w:hint="eastAsia"/>
          <w:lang w:val="en-US" w:eastAsia="zh-CN"/>
        </w:rPr>
        <w:t>。</w:t>
      </w:r>
    </w:p>
    <w:p>
      <w:pPr>
        <w:pStyle w:val="34"/>
        <w:bidi w:val="0"/>
        <w:rPr>
          <w:lang w:val="en-US" w:eastAsia="zh-CN"/>
        </w:rPr>
      </w:pPr>
      <w:r>
        <w:rPr>
          <w:rFonts w:hint="eastAsia"/>
          <w:lang w:val="en-US" w:eastAsia="zh-CN"/>
        </w:rPr>
        <w:t>（4）</w:t>
      </w:r>
      <w:r>
        <w:rPr>
          <w:lang w:val="en-US" w:eastAsia="zh-CN"/>
        </w:rPr>
        <w:t>诚信申报承诺书。</w:t>
      </w:r>
    </w:p>
    <w:p>
      <w:pPr>
        <w:pStyle w:val="34"/>
        <w:bidi w:val="0"/>
        <w:rPr>
          <w:lang w:val="en-US" w:eastAsia="zh-CN"/>
        </w:rPr>
      </w:pPr>
      <w:r>
        <w:rPr>
          <w:rFonts w:hint="eastAsia"/>
          <w:lang w:val="en-US" w:eastAsia="zh-CN"/>
        </w:rPr>
        <w:t>8.申报渠道：本政策事项申报通过温江区智慧企业服务平台申报，申报主体按照政策申报通知要求上传申报材料。</w:t>
      </w:r>
    </w:p>
    <w:p>
      <w:pPr>
        <w:pStyle w:val="34"/>
        <w:bidi w:val="0"/>
        <w:rPr>
          <w:lang w:val="en-US" w:eastAsia="zh-CN"/>
        </w:rPr>
      </w:pPr>
      <w:r>
        <w:rPr>
          <w:rFonts w:hint="eastAsia"/>
          <w:lang w:val="en-US" w:eastAsia="zh-CN"/>
        </w:rPr>
        <w:t>9.惠企事项责任部门：</w:t>
      </w:r>
      <w:r>
        <w:rPr>
          <w:lang w:val="en-US" w:eastAsia="zh-CN"/>
        </w:rPr>
        <w:t>区市场监管局（区知识产权局）</w:t>
      </w:r>
      <w:r>
        <w:rPr>
          <w:rFonts w:hint="eastAsia"/>
          <w:lang w:val="en-US" w:eastAsia="zh-CN"/>
        </w:rPr>
        <w:t>。</w:t>
      </w:r>
    </w:p>
    <w:p>
      <w:pPr>
        <w:pStyle w:val="34"/>
        <w:bidi w:val="0"/>
        <w:rPr>
          <w:lang w:val="en-US" w:eastAsia="zh-CN"/>
        </w:rPr>
      </w:pPr>
      <w:r>
        <w:rPr>
          <w:rFonts w:hint="eastAsia"/>
          <w:lang w:val="en-US" w:eastAsia="zh-CN"/>
        </w:rPr>
        <w:t>10.责任科室：知识产权管理保护科。</w:t>
      </w:r>
    </w:p>
    <w:p>
      <w:pPr>
        <w:pStyle w:val="34"/>
        <w:bidi w:val="0"/>
        <w:rPr>
          <w:lang w:val="en-US" w:eastAsia="zh-CN"/>
        </w:rPr>
      </w:pPr>
      <w:r>
        <w:rPr>
          <w:rFonts w:hint="eastAsia"/>
          <w:lang w:val="en-US" w:eastAsia="zh-CN"/>
        </w:rPr>
        <w:t>11.联系方式：</w:t>
      </w:r>
      <w:r>
        <w:rPr>
          <w:lang w:val="en-US" w:eastAsia="zh-CN"/>
        </w:rPr>
        <w:t>028</w:t>
      </w:r>
      <w:r>
        <w:rPr>
          <w:rFonts w:hint="eastAsia"/>
          <w:lang w:val="en-US" w:eastAsia="zh-CN"/>
        </w:rPr>
        <w:t>—</w:t>
      </w:r>
      <w:r>
        <w:rPr>
          <w:lang w:val="en-US" w:eastAsia="zh-CN"/>
        </w:rPr>
        <w:t>82746023</w:t>
      </w:r>
      <w:r>
        <w:rPr>
          <w:rFonts w:hint="eastAsia"/>
          <w:lang w:val="en-US" w:eastAsia="zh-CN"/>
        </w:rPr>
        <w:t>。</w:t>
      </w:r>
    </w:p>
    <w:p>
      <w:pPr>
        <w:pStyle w:val="4"/>
        <w:bidi w:val="0"/>
        <w:rPr>
          <w:rFonts w:hint="default"/>
          <w:lang w:val="en-US" w:eastAsia="zh-CN"/>
        </w:rPr>
      </w:pPr>
      <w:r>
        <w:rPr>
          <w:rFonts w:hint="eastAsia"/>
          <w:lang w:val="en-US" w:eastAsia="zh-CN"/>
        </w:rPr>
        <w:t>（三）</w:t>
      </w:r>
      <w:r>
        <w:rPr>
          <w:rFonts w:hint="default"/>
          <w:lang w:val="en-US" w:eastAsia="zh-CN"/>
        </w:rPr>
        <w:t>支持知识产权质押融资</w:t>
      </w:r>
    </w:p>
    <w:p>
      <w:pPr>
        <w:pStyle w:val="34"/>
        <w:bidi w:val="0"/>
        <w:rPr>
          <w:lang w:val="en-US" w:eastAsia="zh-CN"/>
        </w:rPr>
      </w:pPr>
      <w:r>
        <w:rPr>
          <w:rFonts w:hint="eastAsia"/>
          <w:lang w:val="en-US" w:eastAsia="zh-CN"/>
        </w:rPr>
        <w:t>1.政策依据：《成都市温江区促进知识产权创新发展政策措施（修订）》（温府规〔2025〕1号）第四条。</w:t>
      </w:r>
    </w:p>
    <w:p>
      <w:pPr>
        <w:pStyle w:val="34"/>
        <w:bidi w:val="0"/>
        <w:rPr>
          <w:rFonts w:hint="eastAsia"/>
          <w:lang w:val="en-US" w:eastAsia="zh-CN"/>
        </w:rPr>
      </w:pPr>
      <w:r>
        <w:rPr>
          <w:rFonts w:hint="eastAsia"/>
          <w:lang w:val="en-US" w:eastAsia="zh-CN"/>
        </w:rPr>
        <w:t>2.事项内容：对企事业单位以专利权、商标权通过银行获得知识产权质押融资贷款的，在获得市知识产权主管部门相关认定资助后，按照其实际支付的贷款利息、担保费、评估费给予10%的一次性资助，每个单位上述三项费用每年资助总额不超过20万元。</w:t>
      </w:r>
    </w:p>
    <w:p>
      <w:pPr>
        <w:pStyle w:val="34"/>
        <w:bidi w:val="0"/>
        <w:rPr>
          <w:lang w:val="en-US" w:eastAsia="zh-CN"/>
        </w:rPr>
      </w:pPr>
      <w:r>
        <w:rPr>
          <w:rFonts w:hint="eastAsia"/>
          <w:lang w:val="en-US" w:eastAsia="zh-CN"/>
        </w:rPr>
        <w:t>3.事项分类：免申即享。</w:t>
      </w:r>
    </w:p>
    <w:p>
      <w:pPr>
        <w:pStyle w:val="34"/>
        <w:bidi w:val="0"/>
        <w:rPr>
          <w:lang w:val="en-US" w:eastAsia="zh-CN"/>
        </w:rPr>
      </w:pPr>
      <w:r>
        <w:rPr>
          <w:rFonts w:hint="eastAsia"/>
          <w:lang w:val="en-US" w:eastAsia="zh-CN"/>
        </w:rPr>
        <w:t>4.支持对象：住所或主要生产、经营活动在温江区的企事业单位。</w:t>
      </w:r>
    </w:p>
    <w:p>
      <w:pPr>
        <w:pStyle w:val="34"/>
        <w:bidi w:val="0"/>
        <w:rPr>
          <w:lang w:val="en-US" w:eastAsia="zh-CN"/>
        </w:rPr>
      </w:pPr>
      <w:r>
        <w:rPr>
          <w:rFonts w:hint="eastAsia"/>
          <w:lang w:val="en-US" w:eastAsia="zh-CN"/>
        </w:rPr>
        <w:t>5.支持标准：</w:t>
      </w:r>
      <w:r>
        <w:rPr>
          <w:lang w:val="en-US" w:eastAsia="zh-CN"/>
        </w:rPr>
        <w:t>按照</w:t>
      </w:r>
      <w:bookmarkStart w:id="5" w:name="OLE_LINK91"/>
      <w:r>
        <w:rPr>
          <w:rFonts w:hint="eastAsia"/>
          <w:lang w:val="en-US" w:eastAsia="zh-CN"/>
        </w:rPr>
        <w:t>企事业单位</w:t>
      </w:r>
      <w:bookmarkEnd w:id="5"/>
      <w:r>
        <w:rPr>
          <w:rFonts w:hint="eastAsia"/>
          <w:lang w:val="en-US" w:eastAsia="zh-CN"/>
        </w:rPr>
        <w:t>实际</w:t>
      </w:r>
      <w:r>
        <w:rPr>
          <w:lang w:val="en-US" w:eastAsia="zh-CN"/>
        </w:rPr>
        <w:t>支付的贷款利息、担保费、评估费给予10%的一次性资助，每个单位上述三项费用每年资助总额不超过20万元。</w:t>
      </w:r>
    </w:p>
    <w:p>
      <w:pPr>
        <w:pStyle w:val="34"/>
        <w:bidi w:val="0"/>
        <w:rPr>
          <w:lang w:val="en-US" w:eastAsia="zh-CN"/>
        </w:rPr>
      </w:pPr>
      <w:r>
        <w:rPr>
          <w:rFonts w:hint="eastAsia"/>
          <w:lang w:val="en-US" w:eastAsia="zh-CN"/>
        </w:rPr>
        <w:t>6.申报条件：申报主体开展知识产权质押融资并</w:t>
      </w:r>
      <w:r>
        <w:rPr>
          <w:lang w:val="en-US" w:eastAsia="zh-CN"/>
        </w:rPr>
        <w:t>获得</w:t>
      </w:r>
      <w:r>
        <w:rPr>
          <w:rFonts w:hint="eastAsia"/>
          <w:lang w:val="en-US" w:eastAsia="zh-CN"/>
        </w:rPr>
        <w:t>对应</w:t>
      </w:r>
      <w:r>
        <w:rPr>
          <w:lang w:val="en-US" w:eastAsia="zh-CN"/>
        </w:rPr>
        <w:t>市知识产权主管部门知识产权质押融资项目</w:t>
      </w:r>
      <w:r>
        <w:rPr>
          <w:rFonts w:hint="eastAsia"/>
          <w:lang w:val="en-US" w:eastAsia="zh-CN"/>
        </w:rPr>
        <w:t>认定资助</w:t>
      </w:r>
      <w:r>
        <w:rPr>
          <w:lang w:val="en-US" w:eastAsia="zh-CN"/>
        </w:rPr>
        <w:t>。</w:t>
      </w:r>
    </w:p>
    <w:p>
      <w:pPr>
        <w:pStyle w:val="34"/>
        <w:bidi w:val="0"/>
        <w:rPr>
          <w:rFonts w:hint="eastAsia"/>
          <w:lang w:val="en-US" w:eastAsia="zh-CN"/>
        </w:rPr>
      </w:pPr>
      <w:r>
        <w:rPr>
          <w:rFonts w:hint="eastAsia"/>
          <w:lang w:val="en-US" w:eastAsia="zh-CN"/>
        </w:rPr>
        <w:t>7.办理方式：惠企事项责任单位通过温江区智慧企业服务平台审核办理。</w:t>
      </w:r>
    </w:p>
    <w:p>
      <w:pPr>
        <w:pStyle w:val="34"/>
        <w:bidi w:val="0"/>
        <w:rPr>
          <w:rFonts w:hint="eastAsia"/>
          <w:lang w:val="en-US" w:eastAsia="zh-CN"/>
        </w:rPr>
      </w:pPr>
      <w:r>
        <w:rPr>
          <w:rFonts w:hint="eastAsia"/>
          <w:lang w:val="en-US" w:eastAsia="zh-CN"/>
        </w:rPr>
        <w:t>8.惠企事项责任部门：区市场监管局（区知识产权局）。</w:t>
      </w:r>
    </w:p>
    <w:p>
      <w:pPr>
        <w:pStyle w:val="34"/>
        <w:bidi w:val="0"/>
        <w:rPr>
          <w:rFonts w:hint="eastAsia"/>
          <w:lang w:val="en-US" w:eastAsia="zh-CN"/>
        </w:rPr>
      </w:pPr>
      <w:r>
        <w:rPr>
          <w:rFonts w:hint="eastAsia"/>
          <w:lang w:val="en-US" w:eastAsia="zh-CN"/>
        </w:rPr>
        <w:t>9.责任科室：知识产权管理保护科。</w:t>
      </w:r>
    </w:p>
    <w:p>
      <w:pPr>
        <w:pStyle w:val="34"/>
        <w:bidi w:val="0"/>
        <w:rPr>
          <w:rFonts w:hint="eastAsia"/>
          <w:lang w:val="en-US" w:eastAsia="zh-CN"/>
        </w:rPr>
      </w:pPr>
      <w:r>
        <w:rPr>
          <w:rFonts w:hint="eastAsia"/>
          <w:lang w:val="en-US" w:eastAsia="zh-CN"/>
        </w:rPr>
        <w:t>10.联系方式：028—82746023。</w:t>
      </w:r>
    </w:p>
    <w:p>
      <w:pPr>
        <w:pStyle w:val="3"/>
        <w:bidi w:val="0"/>
        <w:rPr>
          <w:rFonts w:hint="default"/>
          <w:lang w:val="en-US" w:eastAsia="zh-CN"/>
        </w:rPr>
      </w:pPr>
      <w:r>
        <w:rPr>
          <w:rFonts w:hint="eastAsia"/>
          <w:lang w:val="en-US" w:eastAsia="zh-CN"/>
        </w:rPr>
        <w:t>三、促进知识产权高标准保护</w:t>
      </w:r>
    </w:p>
    <w:p>
      <w:pPr>
        <w:pStyle w:val="4"/>
        <w:bidi w:val="0"/>
        <w:rPr>
          <w:rFonts w:hint="default"/>
          <w:lang w:val="en-US" w:eastAsia="zh-CN"/>
        </w:rPr>
      </w:pPr>
      <w:r>
        <w:rPr>
          <w:rFonts w:hint="eastAsia"/>
          <w:lang w:val="en-US" w:eastAsia="zh-CN"/>
        </w:rPr>
        <w:t>（一）</w:t>
      </w:r>
      <w:r>
        <w:rPr>
          <w:rFonts w:hint="default"/>
          <w:lang w:val="en-US" w:eastAsia="zh-CN"/>
        </w:rPr>
        <w:t>支持知识产权维权</w:t>
      </w:r>
    </w:p>
    <w:p>
      <w:pPr>
        <w:pStyle w:val="34"/>
        <w:bidi w:val="0"/>
        <w:rPr>
          <w:lang w:val="en-US" w:eastAsia="zh-CN"/>
        </w:rPr>
      </w:pPr>
      <w:r>
        <w:rPr>
          <w:rFonts w:hint="eastAsia"/>
          <w:lang w:val="en-US" w:eastAsia="zh-CN"/>
        </w:rPr>
        <w:t>1.政策依据：《成都市温江区促进知识产权创新发展政策措施（修订）》（温府规〔2025〕1号）第五条。</w:t>
      </w:r>
    </w:p>
    <w:p>
      <w:pPr>
        <w:pStyle w:val="34"/>
        <w:bidi w:val="0"/>
        <w:rPr>
          <w:lang w:val="en-US" w:eastAsia="zh-CN"/>
        </w:rPr>
      </w:pPr>
      <w:r>
        <w:rPr>
          <w:rFonts w:hint="eastAsia"/>
          <w:lang w:val="en-US" w:eastAsia="zh-CN"/>
        </w:rPr>
        <w:t>2.事项内容：企事业单位开展知识产权维权</w:t>
      </w:r>
      <w:r>
        <w:rPr>
          <w:lang w:val="en-US" w:eastAsia="zh-CN"/>
        </w:rPr>
        <w:t>，经法院判决或裁定后</w:t>
      </w:r>
      <w:r>
        <w:rPr>
          <w:rFonts w:hint="eastAsia"/>
          <w:lang w:val="en-US" w:eastAsia="zh-CN"/>
        </w:rPr>
        <w:t>，</w:t>
      </w:r>
      <w:r>
        <w:rPr>
          <w:lang w:val="en-US" w:eastAsia="zh-CN"/>
        </w:rPr>
        <w:t>或者经行政机关处理后支持其请求并已生效的，或者在和解撤诉中获益的，每件侵权纠纷按照企事业单位实际支出的维权成本给予50%的资助，每件最高25万元，每个单位每年资助总额不超过50万元。</w:t>
      </w:r>
    </w:p>
    <w:p>
      <w:pPr>
        <w:pStyle w:val="34"/>
        <w:bidi w:val="0"/>
        <w:rPr>
          <w:lang w:val="en-US" w:eastAsia="zh-CN"/>
        </w:rPr>
      </w:pPr>
      <w:r>
        <w:rPr>
          <w:rFonts w:hint="eastAsia"/>
          <w:lang w:val="en-US" w:eastAsia="zh-CN"/>
        </w:rPr>
        <w:t>3.事项分类：易申快享。</w:t>
      </w:r>
    </w:p>
    <w:p>
      <w:pPr>
        <w:pStyle w:val="34"/>
        <w:bidi w:val="0"/>
        <w:rPr>
          <w:lang w:val="en-US" w:eastAsia="zh-CN"/>
        </w:rPr>
      </w:pPr>
      <w:r>
        <w:rPr>
          <w:rFonts w:hint="eastAsia"/>
          <w:lang w:val="en-US" w:eastAsia="zh-CN"/>
        </w:rPr>
        <w:t>4.支持对象：住所或主要生产、经营活动在温江区的</w:t>
      </w:r>
      <w:r>
        <w:rPr>
          <w:lang w:val="en-US" w:eastAsia="zh-CN"/>
        </w:rPr>
        <w:t>企事业单位</w:t>
      </w:r>
      <w:r>
        <w:rPr>
          <w:rFonts w:hint="eastAsia"/>
          <w:lang w:val="en-US" w:eastAsia="zh-CN"/>
        </w:rPr>
        <w:t>。</w:t>
      </w:r>
    </w:p>
    <w:p>
      <w:pPr>
        <w:pStyle w:val="34"/>
        <w:bidi w:val="0"/>
        <w:rPr>
          <w:lang w:val="en-US" w:eastAsia="zh-CN"/>
        </w:rPr>
      </w:pPr>
      <w:r>
        <w:rPr>
          <w:rFonts w:hint="eastAsia"/>
          <w:lang w:val="en-US" w:eastAsia="zh-CN"/>
        </w:rPr>
        <w:t>5.支持标准：每件侵权纠纷按照企事业单位实际支出的维权成本给予50%的资助，每件最高25万元，每个单位每年资助总额不超过50万元。维权成本</w:t>
      </w:r>
      <w:r>
        <w:rPr>
          <w:lang w:val="zh-CN" w:eastAsia="zh-CN"/>
        </w:rPr>
        <w:t>包括律师费、代理费、诉讼费、保全公证费、</w:t>
      </w:r>
      <w:r>
        <w:rPr>
          <w:rFonts w:hint="eastAsia"/>
          <w:lang w:val="zh-CN" w:eastAsia="zh-CN"/>
        </w:rPr>
        <w:t>市场主体</w:t>
      </w:r>
      <w:r>
        <w:rPr>
          <w:lang w:val="zh-CN" w:eastAsia="zh-CN"/>
        </w:rPr>
        <w:t>查档费、鉴定评估费等维权费用</w:t>
      </w:r>
      <w:r>
        <w:rPr>
          <w:rFonts w:hint="eastAsia"/>
          <w:lang w:val="zh-CN" w:eastAsia="zh-CN"/>
        </w:rPr>
        <w:t>。</w:t>
      </w:r>
    </w:p>
    <w:p>
      <w:pPr>
        <w:pStyle w:val="34"/>
        <w:bidi w:val="0"/>
        <w:rPr>
          <w:lang w:val="en-US" w:eastAsia="zh-CN"/>
        </w:rPr>
      </w:pPr>
      <w:r>
        <w:rPr>
          <w:rFonts w:hint="eastAsia"/>
          <w:lang w:val="en-US" w:eastAsia="zh-CN"/>
        </w:rPr>
        <w:t>6.申报条件：</w:t>
      </w:r>
      <w:r>
        <w:rPr>
          <w:lang w:val="en-US" w:eastAsia="zh-CN"/>
        </w:rPr>
        <w:t>经法院判决或裁定后</w:t>
      </w:r>
      <w:r>
        <w:rPr>
          <w:rFonts w:hint="eastAsia"/>
          <w:lang w:val="en-US" w:eastAsia="zh-CN"/>
        </w:rPr>
        <w:t>，</w:t>
      </w:r>
      <w:r>
        <w:rPr>
          <w:lang w:val="en-US" w:eastAsia="zh-CN"/>
        </w:rPr>
        <w:t>或者经行政机关处理后支持其请求（含部分支持请求）并已生效的，</w:t>
      </w:r>
      <w:r>
        <w:rPr>
          <w:lang w:val="zh-CN" w:eastAsia="zh-CN"/>
        </w:rPr>
        <w:t>或者在和解撤诉中获益的，</w:t>
      </w:r>
      <w:r>
        <w:rPr>
          <w:lang w:val="en-US" w:eastAsia="zh-CN"/>
        </w:rPr>
        <w:t>侵权纠纷结案（判决裁定、和解撤诉）时间应在当年申报通知要求的时间内</w:t>
      </w:r>
      <w:r>
        <w:rPr>
          <w:rFonts w:hint="eastAsia"/>
          <w:lang w:val="en-US" w:eastAsia="zh-CN"/>
        </w:rPr>
        <w:t>。</w:t>
      </w:r>
    </w:p>
    <w:p>
      <w:pPr>
        <w:pStyle w:val="34"/>
        <w:bidi w:val="0"/>
        <w:rPr>
          <w:lang w:val="en-US" w:eastAsia="zh-CN"/>
        </w:rPr>
      </w:pPr>
      <w:r>
        <w:rPr>
          <w:rFonts w:hint="eastAsia"/>
          <w:lang w:val="en-US" w:eastAsia="zh-CN"/>
        </w:rPr>
        <w:t>7.申报材料：</w:t>
      </w:r>
    </w:p>
    <w:p>
      <w:pPr>
        <w:pStyle w:val="34"/>
        <w:bidi w:val="0"/>
        <w:rPr>
          <w:lang w:val="en-US" w:eastAsia="zh-CN"/>
        </w:rPr>
      </w:pPr>
      <w:r>
        <w:rPr>
          <w:rFonts w:hint="eastAsia"/>
          <w:lang w:val="en-US" w:eastAsia="zh-CN"/>
        </w:rPr>
        <w:t>（1）</w:t>
      </w:r>
      <w:r>
        <w:rPr>
          <w:lang w:val="en-US" w:eastAsia="zh-CN"/>
        </w:rPr>
        <w:t>法院判决书（裁定书、调解书）、案件生效证明或者行政机关处理决定书等已生效的结案证明材料。</w:t>
      </w:r>
    </w:p>
    <w:p>
      <w:pPr>
        <w:pStyle w:val="34"/>
        <w:bidi w:val="0"/>
        <w:rPr>
          <w:lang w:val="en-US" w:eastAsia="zh-CN"/>
        </w:rPr>
      </w:pPr>
      <w:r>
        <w:rPr>
          <w:rFonts w:hint="eastAsia"/>
          <w:lang w:val="en-US" w:eastAsia="zh-CN"/>
        </w:rPr>
        <w:t>（2）有资质的审计机构出具的可查验的专项审计报告，审计报告应明确各项维权成本</w:t>
      </w:r>
      <w:r>
        <w:rPr>
          <w:lang w:val="en-US" w:eastAsia="zh-CN"/>
        </w:rPr>
        <w:t>对应的服务事项</w:t>
      </w:r>
      <w:r>
        <w:rPr>
          <w:rFonts w:hint="eastAsia"/>
          <w:lang w:val="en-US" w:eastAsia="zh-CN"/>
        </w:rPr>
        <w:t>及</w:t>
      </w:r>
      <w:r>
        <w:rPr>
          <w:lang w:val="en-US" w:eastAsia="zh-CN"/>
        </w:rPr>
        <w:t>支付凭证。</w:t>
      </w:r>
    </w:p>
    <w:p>
      <w:pPr>
        <w:pStyle w:val="34"/>
        <w:bidi w:val="0"/>
        <w:rPr>
          <w:lang w:val="en-US" w:eastAsia="zh-CN"/>
        </w:rPr>
      </w:pPr>
      <w:r>
        <w:rPr>
          <w:rFonts w:hint="eastAsia"/>
          <w:lang w:val="en-US" w:eastAsia="zh-CN"/>
        </w:rPr>
        <w:t>（3）</w:t>
      </w:r>
      <w:r>
        <w:rPr>
          <w:lang w:val="en-US" w:eastAsia="zh-CN"/>
        </w:rPr>
        <w:t>诚信申报承诺书。</w:t>
      </w:r>
    </w:p>
    <w:p>
      <w:pPr>
        <w:pStyle w:val="34"/>
        <w:bidi w:val="0"/>
        <w:rPr>
          <w:lang w:val="en-US" w:eastAsia="zh-CN"/>
        </w:rPr>
      </w:pPr>
      <w:r>
        <w:rPr>
          <w:rFonts w:hint="eastAsia"/>
          <w:lang w:val="en-US" w:eastAsia="zh-CN"/>
        </w:rPr>
        <w:t>8.申报渠道：本政策事项申报通过温江区智慧企业服务平台申报，申报主体按照政策申报通知要求上传申报材料。</w:t>
      </w:r>
    </w:p>
    <w:p>
      <w:pPr>
        <w:pStyle w:val="34"/>
        <w:bidi w:val="0"/>
        <w:rPr>
          <w:lang w:val="en-US" w:eastAsia="zh-CN"/>
        </w:rPr>
      </w:pPr>
      <w:r>
        <w:rPr>
          <w:rFonts w:hint="eastAsia"/>
          <w:lang w:val="en-US" w:eastAsia="zh-CN"/>
        </w:rPr>
        <w:t>9.惠企事项责任部门：</w:t>
      </w:r>
      <w:r>
        <w:rPr>
          <w:lang w:val="en-US" w:eastAsia="zh-CN"/>
        </w:rPr>
        <w:t>区市场监管局（区知识产权局）</w:t>
      </w:r>
      <w:r>
        <w:rPr>
          <w:rFonts w:hint="eastAsia"/>
          <w:lang w:val="en-US" w:eastAsia="zh-CN"/>
        </w:rPr>
        <w:t>。</w:t>
      </w:r>
    </w:p>
    <w:p>
      <w:pPr>
        <w:pStyle w:val="34"/>
        <w:bidi w:val="0"/>
        <w:rPr>
          <w:lang w:val="en-US" w:eastAsia="zh-CN"/>
        </w:rPr>
      </w:pPr>
      <w:r>
        <w:rPr>
          <w:rFonts w:hint="eastAsia"/>
          <w:lang w:val="en-US" w:eastAsia="zh-CN"/>
        </w:rPr>
        <w:t>10.责任科室：知识产权管理保护科。</w:t>
      </w:r>
    </w:p>
    <w:p>
      <w:pPr>
        <w:pStyle w:val="34"/>
        <w:bidi w:val="0"/>
        <w:rPr>
          <w:lang w:val="en-US" w:eastAsia="zh-CN"/>
        </w:rPr>
      </w:pPr>
      <w:r>
        <w:rPr>
          <w:rFonts w:hint="eastAsia"/>
          <w:lang w:val="en-US" w:eastAsia="zh-CN"/>
        </w:rPr>
        <w:t>11.联系方式：</w:t>
      </w:r>
      <w:r>
        <w:rPr>
          <w:lang w:val="en-US" w:eastAsia="zh-CN"/>
        </w:rPr>
        <w:t>028</w:t>
      </w:r>
      <w:r>
        <w:rPr>
          <w:rFonts w:hint="eastAsia"/>
          <w:lang w:val="en-US" w:eastAsia="zh-CN"/>
        </w:rPr>
        <w:t>—</w:t>
      </w:r>
      <w:r>
        <w:rPr>
          <w:lang w:val="en-US" w:eastAsia="zh-CN"/>
        </w:rPr>
        <w:t>82746023</w:t>
      </w:r>
      <w:r>
        <w:rPr>
          <w:rFonts w:hint="eastAsia"/>
          <w:lang w:val="en-US" w:eastAsia="zh-CN"/>
        </w:rPr>
        <w:t>。</w:t>
      </w:r>
    </w:p>
    <w:p>
      <w:pPr>
        <w:pStyle w:val="4"/>
        <w:bidi w:val="0"/>
        <w:rPr>
          <w:rFonts w:hint="default"/>
          <w:lang w:val="en-US" w:eastAsia="zh-CN"/>
        </w:rPr>
      </w:pPr>
      <w:r>
        <w:rPr>
          <w:rFonts w:hint="eastAsia"/>
          <w:lang w:val="en-US" w:eastAsia="zh-CN"/>
        </w:rPr>
        <w:t>（二）</w:t>
      </w:r>
      <w:r>
        <w:rPr>
          <w:rFonts w:hint="default"/>
          <w:lang w:val="en-US" w:eastAsia="zh-CN"/>
        </w:rPr>
        <w:t>支持购买知识产权保险</w:t>
      </w:r>
    </w:p>
    <w:p>
      <w:pPr>
        <w:pStyle w:val="34"/>
        <w:bidi w:val="0"/>
        <w:rPr>
          <w:lang w:val="en-US" w:eastAsia="zh-CN"/>
        </w:rPr>
      </w:pPr>
      <w:r>
        <w:rPr>
          <w:rFonts w:hint="eastAsia"/>
          <w:lang w:val="en-US" w:eastAsia="zh-CN"/>
        </w:rPr>
        <w:t>1.政策依据：《成都市温江区促进知识产权创新发展政策措施（修订）》（温府规〔2025〕1号）第六条。</w:t>
      </w:r>
    </w:p>
    <w:p>
      <w:pPr>
        <w:pStyle w:val="34"/>
        <w:bidi w:val="0"/>
        <w:rPr>
          <w:lang w:val="en-US" w:eastAsia="zh-CN"/>
        </w:rPr>
      </w:pPr>
      <w:r>
        <w:rPr>
          <w:rFonts w:hint="eastAsia"/>
          <w:lang w:val="en-US" w:eastAsia="zh-CN"/>
        </w:rPr>
        <w:t>2.事项内容：对企业购买专利、商标执行保险、被侵权损失保险等险种并获得市知识产权主管部门对应险种相关资助后，按照实际缴纳保费的10%给予投保人一次性资助，每单最高1万元，每个投保人每年资助总额不超过5万元。</w:t>
      </w:r>
    </w:p>
    <w:p>
      <w:pPr>
        <w:pStyle w:val="34"/>
        <w:bidi w:val="0"/>
        <w:rPr>
          <w:lang w:val="en-US" w:eastAsia="zh-CN"/>
        </w:rPr>
      </w:pPr>
      <w:r>
        <w:rPr>
          <w:rFonts w:hint="eastAsia"/>
          <w:lang w:val="en-US" w:eastAsia="zh-CN"/>
        </w:rPr>
        <w:t>3.事项分类：免申即享。</w:t>
      </w:r>
    </w:p>
    <w:p>
      <w:pPr>
        <w:pStyle w:val="34"/>
        <w:bidi w:val="0"/>
        <w:rPr>
          <w:lang w:val="en-US" w:eastAsia="zh-CN"/>
        </w:rPr>
      </w:pPr>
      <w:r>
        <w:rPr>
          <w:rFonts w:hint="eastAsia"/>
          <w:lang w:val="en-US" w:eastAsia="zh-CN"/>
        </w:rPr>
        <w:t>4.支持对象：住所或主要生产、经营活动在温江区的企业。</w:t>
      </w:r>
    </w:p>
    <w:p>
      <w:pPr>
        <w:pStyle w:val="34"/>
        <w:bidi w:val="0"/>
        <w:rPr>
          <w:rFonts w:hint="eastAsia"/>
          <w:lang w:val="en-US" w:eastAsia="zh-CN"/>
        </w:rPr>
      </w:pPr>
      <w:r>
        <w:rPr>
          <w:rFonts w:hint="eastAsia"/>
          <w:lang w:val="en-US" w:eastAsia="zh-CN"/>
        </w:rPr>
        <w:t>5.支持标准：按照实际缴纳保费的10%给予投保人一次性资助，每单最高1万元，每个投保人每年资助总额不超过5万元。</w:t>
      </w:r>
    </w:p>
    <w:p>
      <w:pPr>
        <w:pStyle w:val="34"/>
        <w:bidi w:val="0"/>
        <w:rPr>
          <w:lang w:val="en-US" w:eastAsia="zh-CN"/>
        </w:rPr>
      </w:pPr>
      <w:r>
        <w:rPr>
          <w:rFonts w:hint="eastAsia"/>
          <w:lang w:val="en-US" w:eastAsia="zh-CN"/>
        </w:rPr>
        <w:t>6.申报条件：</w:t>
      </w:r>
      <w:bookmarkStart w:id="6" w:name="OLE_LINK92"/>
      <w:r>
        <w:rPr>
          <w:rFonts w:hint="eastAsia"/>
          <w:lang w:val="en-US" w:eastAsia="zh-CN"/>
        </w:rPr>
        <w:t>申报主体购买知识产权类保险并</w:t>
      </w:r>
      <w:r>
        <w:rPr>
          <w:lang w:val="en-US" w:eastAsia="zh-CN"/>
        </w:rPr>
        <w:t>获得市知识产权主管部门对</w:t>
      </w:r>
      <w:r>
        <w:rPr>
          <w:rFonts w:hint="eastAsia"/>
          <w:lang w:val="zh-CN" w:eastAsia="zh-CN"/>
        </w:rPr>
        <w:t>应险种</w:t>
      </w:r>
      <w:r>
        <w:rPr>
          <w:rFonts w:hint="eastAsia"/>
          <w:lang w:val="en-US" w:eastAsia="zh-CN"/>
        </w:rPr>
        <w:t>认定</w:t>
      </w:r>
      <w:r>
        <w:rPr>
          <w:lang w:val="en-US" w:eastAsia="zh-CN"/>
        </w:rPr>
        <w:t>资助。</w:t>
      </w:r>
    </w:p>
    <w:bookmarkEnd w:id="6"/>
    <w:p>
      <w:pPr>
        <w:pStyle w:val="34"/>
        <w:bidi w:val="0"/>
        <w:rPr>
          <w:rFonts w:hint="eastAsia"/>
          <w:lang w:val="en-US" w:eastAsia="zh-CN"/>
        </w:rPr>
      </w:pPr>
      <w:r>
        <w:rPr>
          <w:rFonts w:hint="eastAsia"/>
          <w:lang w:val="en-US" w:eastAsia="zh-CN"/>
        </w:rPr>
        <w:t>7.办理方式：惠企事项责任单位通过温江区智慧企业服务平台审核办理。</w:t>
      </w:r>
    </w:p>
    <w:p>
      <w:pPr>
        <w:pStyle w:val="34"/>
        <w:bidi w:val="0"/>
        <w:rPr>
          <w:rFonts w:hint="eastAsia"/>
          <w:lang w:val="en-US" w:eastAsia="zh-CN"/>
        </w:rPr>
      </w:pPr>
      <w:r>
        <w:rPr>
          <w:rFonts w:hint="eastAsia"/>
          <w:lang w:val="en-US" w:eastAsia="zh-CN"/>
        </w:rPr>
        <w:t>8.惠企事项责任部门：区市场监管局（区知识产权局）。</w:t>
      </w:r>
    </w:p>
    <w:p>
      <w:pPr>
        <w:pStyle w:val="34"/>
        <w:bidi w:val="0"/>
        <w:rPr>
          <w:rFonts w:hint="eastAsia"/>
          <w:lang w:val="en-US" w:eastAsia="zh-CN"/>
        </w:rPr>
      </w:pPr>
      <w:r>
        <w:rPr>
          <w:rFonts w:hint="eastAsia"/>
          <w:lang w:val="en-US" w:eastAsia="zh-CN"/>
        </w:rPr>
        <w:t>9.责任科室：知识产权管理保护科。</w:t>
      </w:r>
    </w:p>
    <w:p>
      <w:pPr>
        <w:pStyle w:val="34"/>
        <w:bidi w:val="0"/>
        <w:rPr>
          <w:rFonts w:hint="eastAsia"/>
          <w:lang w:val="en-US" w:eastAsia="zh-CN"/>
        </w:rPr>
      </w:pPr>
      <w:r>
        <w:rPr>
          <w:rFonts w:hint="eastAsia"/>
          <w:lang w:val="en-US" w:eastAsia="zh-CN"/>
        </w:rPr>
        <w:t>10.联系方式：028—82746023。</w:t>
      </w:r>
    </w:p>
    <w:p>
      <w:pPr>
        <w:pStyle w:val="3"/>
        <w:bidi w:val="0"/>
        <w:rPr>
          <w:rFonts w:hint="default"/>
          <w:lang w:val="en-US" w:eastAsia="zh-CN"/>
        </w:rPr>
      </w:pPr>
      <w:r>
        <w:rPr>
          <w:rFonts w:hint="eastAsia"/>
          <w:lang w:val="en-US" w:eastAsia="zh-CN"/>
        </w:rPr>
        <w:t>四、促进知识产权高水平管理</w:t>
      </w:r>
    </w:p>
    <w:p>
      <w:pPr>
        <w:pStyle w:val="4"/>
        <w:bidi w:val="0"/>
        <w:rPr>
          <w:rFonts w:hint="default"/>
          <w:lang w:val="en-US" w:eastAsia="zh-CN"/>
        </w:rPr>
      </w:pPr>
      <w:r>
        <w:rPr>
          <w:rFonts w:hint="eastAsia"/>
          <w:lang w:val="en-US" w:eastAsia="zh-CN"/>
        </w:rPr>
        <w:t>（一）</w:t>
      </w:r>
      <w:r>
        <w:rPr>
          <w:rFonts w:hint="default"/>
          <w:lang w:val="en-US" w:eastAsia="zh-CN"/>
        </w:rPr>
        <w:t>支持知识产权管理能力提升</w:t>
      </w:r>
    </w:p>
    <w:p>
      <w:pPr>
        <w:pStyle w:val="34"/>
        <w:bidi w:val="0"/>
        <w:rPr>
          <w:lang w:val="en-US" w:eastAsia="zh-CN"/>
        </w:rPr>
      </w:pPr>
      <w:r>
        <w:rPr>
          <w:rFonts w:hint="eastAsia"/>
          <w:lang w:val="en-US" w:eastAsia="zh-CN"/>
        </w:rPr>
        <w:t>1.政策依据：《成都市温江区促进知识产权创新发展政策措施（修订）》（温府规〔2025〕1号）第七条。</w:t>
      </w:r>
    </w:p>
    <w:p>
      <w:pPr>
        <w:pStyle w:val="34"/>
        <w:bidi w:val="0"/>
        <w:rPr>
          <w:lang w:val="en-US" w:eastAsia="zh-CN"/>
        </w:rPr>
      </w:pPr>
      <w:r>
        <w:rPr>
          <w:rFonts w:hint="eastAsia"/>
          <w:lang w:val="en-US" w:eastAsia="zh-CN"/>
        </w:rPr>
        <w:t>2.事项内容：对新认定的国家级知识产权示范企业、优势企业，分别给予10万元、6万元的一次性资助。</w:t>
      </w:r>
    </w:p>
    <w:p>
      <w:pPr>
        <w:pStyle w:val="34"/>
        <w:bidi w:val="0"/>
        <w:rPr>
          <w:lang w:val="en-US" w:eastAsia="zh-CN"/>
        </w:rPr>
      </w:pPr>
      <w:r>
        <w:rPr>
          <w:rFonts w:hint="eastAsia"/>
          <w:lang w:val="en-US" w:eastAsia="zh-CN"/>
        </w:rPr>
        <w:t>3.事项分类：免申即享。</w:t>
      </w:r>
    </w:p>
    <w:p>
      <w:pPr>
        <w:pStyle w:val="34"/>
        <w:bidi w:val="0"/>
        <w:rPr>
          <w:lang w:val="en-US" w:eastAsia="zh-CN"/>
        </w:rPr>
      </w:pPr>
      <w:r>
        <w:rPr>
          <w:rFonts w:hint="eastAsia"/>
          <w:lang w:val="en-US" w:eastAsia="zh-CN"/>
        </w:rPr>
        <w:t>4.支持对象：住所或主要生产、经营活动在温江区的企业。</w:t>
      </w:r>
    </w:p>
    <w:p>
      <w:pPr>
        <w:pStyle w:val="34"/>
        <w:bidi w:val="0"/>
      </w:pPr>
      <w:r>
        <w:rPr>
          <w:rFonts w:hint="eastAsia"/>
        </w:rPr>
        <w:t>5.支持标准：</w:t>
      </w:r>
      <w:bookmarkStart w:id="7" w:name="_Hlk193979485"/>
      <w:r>
        <w:t>对</w:t>
      </w:r>
      <w:r>
        <w:rPr>
          <w:rFonts w:hint="eastAsia"/>
        </w:rPr>
        <w:t>新</w:t>
      </w:r>
      <w:r>
        <w:rPr>
          <w:rFonts w:hint="eastAsia"/>
          <w:lang w:eastAsia="zh-CN"/>
        </w:rPr>
        <w:t>认定的</w:t>
      </w:r>
      <w:r>
        <w:t>国家级知识产权示范企业、优势企业，分别给予10万元、6万元</w:t>
      </w:r>
      <w:r>
        <w:rPr>
          <w:rFonts w:hint="eastAsia"/>
        </w:rPr>
        <w:t>的</w:t>
      </w:r>
      <w:r>
        <w:rPr>
          <w:rFonts w:hint="eastAsia"/>
          <w:lang w:eastAsia="zh-CN"/>
        </w:rPr>
        <w:t>一次性资助</w:t>
      </w:r>
      <w:r>
        <w:t>。</w:t>
      </w:r>
      <w:bookmarkEnd w:id="7"/>
    </w:p>
    <w:p>
      <w:pPr>
        <w:pStyle w:val="34"/>
        <w:bidi w:val="0"/>
        <w:rPr>
          <w:lang w:val="en-US" w:eastAsia="zh-CN"/>
        </w:rPr>
      </w:pPr>
      <w:r>
        <w:rPr>
          <w:rFonts w:hint="eastAsia"/>
          <w:lang w:val="en-US" w:eastAsia="zh-CN"/>
        </w:rPr>
        <w:t>6.申报条件：申报主体新认定</w:t>
      </w:r>
      <w:r>
        <w:rPr>
          <w:lang w:val="en-US" w:eastAsia="zh-CN"/>
        </w:rPr>
        <w:t>为国家级知识产权示范企业、优势企业。</w:t>
      </w:r>
    </w:p>
    <w:p>
      <w:pPr>
        <w:pStyle w:val="34"/>
        <w:bidi w:val="0"/>
        <w:rPr>
          <w:rFonts w:hint="eastAsia"/>
          <w:lang w:val="en-US" w:eastAsia="zh-CN"/>
        </w:rPr>
      </w:pPr>
      <w:r>
        <w:rPr>
          <w:rFonts w:hint="eastAsia"/>
          <w:lang w:val="en-US" w:eastAsia="zh-CN"/>
        </w:rPr>
        <w:t>7.办理方式：惠企事项责任单位通过温江区智慧企业服务平台审核办理。</w:t>
      </w:r>
    </w:p>
    <w:p>
      <w:pPr>
        <w:pStyle w:val="34"/>
        <w:bidi w:val="0"/>
        <w:rPr>
          <w:rFonts w:hint="default"/>
          <w:lang w:val="en-US" w:eastAsia="zh-CN"/>
        </w:rPr>
      </w:pPr>
      <w:r>
        <w:rPr>
          <w:rFonts w:hint="eastAsia"/>
          <w:lang w:val="en-US" w:eastAsia="zh-CN"/>
        </w:rPr>
        <w:t>8.惠企事项责任部门：</w:t>
      </w:r>
      <w:r>
        <w:rPr>
          <w:rFonts w:hint="default"/>
          <w:lang w:val="en-US" w:eastAsia="zh-CN"/>
        </w:rPr>
        <w:t>区市场监管局（区知识产权局）</w:t>
      </w:r>
      <w:r>
        <w:rPr>
          <w:rFonts w:hint="eastAsia"/>
          <w:lang w:val="en-US" w:eastAsia="zh-CN"/>
        </w:rPr>
        <w:t>。</w:t>
      </w:r>
    </w:p>
    <w:p>
      <w:pPr>
        <w:pStyle w:val="34"/>
        <w:bidi w:val="0"/>
        <w:rPr>
          <w:rFonts w:hint="eastAsia"/>
          <w:lang w:val="en-US" w:eastAsia="zh-CN"/>
        </w:rPr>
      </w:pPr>
      <w:r>
        <w:rPr>
          <w:rFonts w:hint="eastAsia"/>
          <w:lang w:val="en-US" w:eastAsia="zh-CN"/>
        </w:rPr>
        <w:t>9.责任科室：知识产权管理保护科。</w:t>
      </w:r>
    </w:p>
    <w:p>
      <w:pPr>
        <w:pStyle w:val="34"/>
        <w:bidi w:val="0"/>
        <w:rPr>
          <w:lang w:val="en-US" w:eastAsia="zh-CN"/>
        </w:rPr>
      </w:pPr>
      <w:r>
        <w:rPr>
          <w:rFonts w:hint="eastAsia"/>
          <w:lang w:val="en-US" w:eastAsia="zh-CN"/>
        </w:rPr>
        <w:t>10.联系方式：</w:t>
      </w:r>
      <w:r>
        <w:rPr>
          <w:rFonts w:hint="default"/>
          <w:lang w:val="en-US" w:eastAsia="zh-CN"/>
        </w:rPr>
        <w:t>028</w:t>
      </w:r>
      <w:r>
        <w:rPr>
          <w:rFonts w:hint="eastAsia"/>
          <w:lang w:val="en-US" w:eastAsia="zh-CN"/>
        </w:rPr>
        <w:t>—</w:t>
      </w:r>
      <w:r>
        <w:rPr>
          <w:rFonts w:hint="default"/>
          <w:lang w:val="en-US" w:eastAsia="zh-CN"/>
        </w:rPr>
        <w:t>82746023</w:t>
      </w:r>
      <w:r>
        <w:rPr>
          <w:rFonts w:hint="eastAsia"/>
          <w:lang w:val="en-US" w:eastAsia="zh-CN"/>
        </w:rPr>
        <w:t>。</w:t>
      </w:r>
    </w:p>
    <w:p>
      <w:pPr>
        <w:pStyle w:val="4"/>
        <w:bidi w:val="0"/>
        <w:rPr>
          <w:rFonts w:hint="default"/>
          <w:lang w:val="en-US" w:eastAsia="zh-CN"/>
        </w:rPr>
      </w:pPr>
      <w:r>
        <w:rPr>
          <w:rFonts w:hint="eastAsia"/>
          <w:lang w:val="en-US" w:eastAsia="zh-CN"/>
        </w:rPr>
        <w:t>（二）</w:t>
      </w:r>
      <w:r>
        <w:rPr>
          <w:rFonts w:hint="default"/>
          <w:lang w:val="en-US" w:eastAsia="zh-CN"/>
        </w:rPr>
        <w:t>支持知识产权信息运用能力提升</w:t>
      </w:r>
    </w:p>
    <w:p>
      <w:pPr>
        <w:pStyle w:val="34"/>
        <w:bidi w:val="0"/>
        <w:rPr>
          <w:lang w:val="en-US" w:eastAsia="zh-CN"/>
        </w:rPr>
      </w:pPr>
      <w:r>
        <w:rPr>
          <w:rFonts w:hint="eastAsia"/>
          <w:lang w:val="en-US" w:eastAsia="zh-CN"/>
        </w:rPr>
        <w:t>1.政策依据：《成都市温江区促进知识产权创新发展政策措施（修订）》（温府规〔2025〕1号）第八条。</w:t>
      </w:r>
    </w:p>
    <w:p>
      <w:pPr>
        <w:pStyle w:val="34"/>
        <w:bidi w:val="0"/>
        <w:rPr>
          <w:lang w:val="en-US" w:eastAsia="zh-CN"/>
        </w:rPr>
      </w:pPr>
      <w:r>
        <w:rPr>
          <w:rFonts w:hint="eastAsia"/>
          <w:lang w:val="en-US" w:eastAsia="zh-CN"/>
        </w:rPr>
        <w:t>2.事项内容：支持知识产权信息运用能力提升。对开展专利分析、预警、导航等促进类工作的单位，经区知识产权主管部门认定后，给予最高</w:t>
      </w:r>
      <w:r>
        <w:rPr>
          <w:rFonts w:hint="default"/>
          <w:lang w:val="en-US" w:eastAsia="zh-CN"/>
        </w:rPr>
        <w:t>10</w:t>
      </w:r>
      <w:r>
        <w:rPr>
          <w:rFonts w:hint="eastAsia"/>
          <w:lang w:val="en-US" w:eastAsia="zh-CN"/>
        </w:rPr>
        <w:t>万元资助。</w:t>
      </w:r>
    </w:p>
    <w:p>
      <w:pPr>
        <w:pStyle w:val="34"/>
        <w:bidi w:val="0"/>
        <w:rPr>
          <w:lang w:val="en-US" w:eastAsia="zh-CN"/>
        </w:rPr>
      </w:pPr>
      <w:r>
        <w:rPr>
          <w:rFonts w:hint="eastAsia"/>
          <w:lang w:val="en-US" w:eastAsia="zh-CN"/>
        </w:rPr>
        <w:t>3.事项分类：线下完成前置资格认定程序后线上免申即享。</w:t>
      </w:r>
    </w:p>
    <w:p>
      <w:pPr>
        <w:pStyle w:val="34"/>
        <w:bidi w:val="0"/>
        <w:rPr>
          <w:lang w:val="en-US" w:eastAsia="zh-CN"/>
        </w:rPr>
      </w:pPr>
      <w:r>
        <w:rPr>
          <w:rFonts w:hint="eastAsia"/>
          <w:lang w:val="en-US" w:eastAsia="zh-CN"/>
        </w:rPr>
        <w:t>4.支持对象：住所或主要生产、经营活动在温江区的企业。</w:t>
      </w:r>
    </w:p>
    <w:p>
      <w:pPr>
        <w:pStyle w:val="34"/>
        <w:bidi w:val="0"/>
        <w:rPr>
          <w:lang w:val="en-US" w:eastAsia="zh-CN"/>
        </w:rPr>
      </w:pPr>
      <w:r>
        <w:rPr>
          <w:rFonts w:hint="eastAsia"/>
          <w:lang w:val="en-US" w:eastAsia="zh-CN"/>
        </w:rPr>
        <w:t>5.支持标准：</w:t>
      </w:r>
      <w:r>
        <w:rPr>
          <w:lang w:val="en-US" w:eastAsia="zh-CN"/>
        </w:rPr>
        <w:t>对开展专利分析、预警、导航等促进类工作的</w:t>
      </w:r>
      <w:r>
        <w:rPr>
          <w:rFonts w:hint="eastAsia"/>
          <w:lang w:val="en-US" w:eastAsia="zh-CN"/>
        </w:rPr>
        <w:t>企业</w:t>
      </w:r>
      <w:r>
        <w:rPr>
          <w:lang w:val="en-US" w:eastAsia="zh-CN"/>
        </w:rPr>
        <w:t>，根据项目经济效益及运用前景，经</w:t>
      </w:r>
      <w:r>
        <w:rPr>
          <w:rFonts w:hint="eastAsia"/>
          <w:lang w:val="en-US" w:eastAsia="zh-CN"/>
        </w:rPr>
        <w:t>区知识产权主管部门认定</w:t>
      </w:r>
      <w:r>
        <w:rPr>
          <w:lang w:val="en-US" w:eastAsia="zh-CN"/>
        </w:rPr>
        <w:t>后，按以下标准给予</w:t>
      </w:r>
      <w:r>
        <w:rPr>
          <w:rFonts w:hint="eastAsia"/>
          <w:lang w:val="en-US" w:eastAsia="zh-CN"/>
        </w:rPr>
        <w:t>最高</w:t>
      </w:r>
      <w:r>
        <w:rPr>
          <w:lang w:val="en-US" w:eastAsia="zh-CN"/>
        </w:rPr>
        <w:t>10万元</w:t>
      </w:r>
      <w:r>
        <w:rPr>
          <w:rFonts w:hint="eastAsia"/>
          <w:lang w:val="en-US" w:eastAsia="zh-CN"/>
        </w:rPr>
        <w:t>资助</w:t>
      </w:r>
      <w:r>
        <w:rPr>
          <w:lang w:val="en-US" w:eastAsia="zh-CN"/>
        </w:rPr>
        <w:t>。</w:t>
      </w:r>
    </w:p>
    <w:p>
      <w:pPr>
        <w:pStyle w:val="34"/>
        <w:bidi w:val="0"/>
        <w:rPr>
          <w:lang w:val="en-US" w:eastAsia="zh-CN"/>
        </w:rPr>
      </w:pPr>
      <w:r>
        <w:rPr>
          <w:rFonts w:hint="eastAsia"/>
          <w:lang w:val="en-US" w:eastAsia="zh-CN"/>
        </w:rPr>
        <w:t>（1）</w:t>
      </w:r>
      <w:r>
        <w:rPr>
          <w:lang w:val="en-US" w:eastAsia="zh-CN"/>
        </w:rPr>
        <w:t>企业上年度开展相关技术领域专利导航、专利预警分析、FTO分析、专利查新、企业微导航等，并形成分析报告，按实际发生费用的70%，给予</w:t>
      </w:r>
      <w:r>
        <w:rPr>
          <w:rFonts w:hint="eastAsia"/>
          <w:lang w:val="en-US" w:eastAsia="zh-CN"/>
        </w:rPr>
        <w:t>不超过</w:t>
      </w:r>
      <w:r>
        <w:rPr>
          <w:lang w:val="en-US" w:eastAsia="zh-CN"/>
        </w:rPr>
        <w:t>3万元</w:t>
      </w:r>
      <w:r>
        <w:rPr>
          <w:rFonts w:hint="eastAsia"/>
          <w:lang w:val="en-US" w:eastAsia="zh-CN"/>
        </w:rPr>
        <w:t>资助</w:t>
      </w:r>
      <w:r>
        <w:rPr>
          <w:lang w:val="en-US" w:eastAsia="zh-CN"/>
        </w:rPr>
        <w:t>。</w:t>
      </w:r>
    </w:p>
    <w:p>
      <w:pPr>
        <w:pStyle w:val="34"/>
        <w:bidi w:val="0"/>
        <w:rPr>
          <w:lang w:val="en-US" w:eastAsia="zh-CN"/>
        </w:rPr>
      </w:pPr>
      <w:r>
        <w:rPr>
          <w:rFonts w:hint="eastAsia"/>
          <w:lang w:val="en-US" w:eastAsia="zh-CN"/>
        </w:rPr>
        <w:t>（2）</w:t>
      </w:r>
      <w:r>
        <w:rPr>
          <w:lang w:val="en-US" w:eastAsia="zh-CN"/>
        </w:rPr>
        <w:t>企业上年度开展上市知识产权辅导，上市成功后，按照实际支出咨询服务费金额的70%，给予</w:t>
      </w:r>
      <w:r>
        <w:rPr>
          <w:rFonts w:hint="eastAsia"/>
          <w:lang w:val="en-US" w:eastAsia="zh-CN"/>
        </w:rPr>
        <w:t>最高</w:t>
      </w:r>
      <w:r>
        <w:rPr>
          <w:lang w:val="en-US" w:eastAsia="zh-CN"/>
        </w:rPr>
        <w:t>10万元</w:t>
      </w:r>
      <w:r>
        <w:rPr>
          <w:rFonts w:hint="eastAsia"/>
          <w:lang w:val="en-US" w:eastAsia="zh-CN"/>
        </w:rPr>
        <w:t>资助</w:t>
      </w:r>
      <w:r>
        <w:rPr>
          <w:lang w:val="en-US" w:eastAsia="zh-CN"/>
        </w:rPr>
        <w:t>。</w:t>
      </w:r>
    </w:p>
    <w:p>
      <w:pPr>
        <w:pStyle w:val="34"/>
        <w:bidi w:val="0"/>
        <w:rPr>
          <w:lang w:val="en-US" w:eastAsia="zh-CN"/>
        </w:rPr>
      </w:pPr>
      <w:r>
        <w:rPr>
          <w:rFonts w:hint="eastAsia"/>
          <w:lang w:val="en-US" w:eastAsia="zh-CN"/>
        </w:rPr>
        <w:t>（3）</w:t>
      </w:r>
      <w:r>
        <w:rPr>
          <w:lang w:val="en-US" w:eastAsia="zh-CN"/>
        </w:rPr>
        <w:t>企业上年度开展商业秘密保护体系建设，按照实际支出金额的70%，给予</w:t>
      </w:r>
      <w:r>
        <w:rPr>
          <w:rFonts w:hint="eastAsia"/>
          <w:lang w:val="en-US" w:eastAsia="zh-CN"/>
        </w:rPr>
        <w:t>最高</w:t>
      </w:r>
      <w:r>
        <w:rPr>
          <w:lang w:val="en-US" w:eastAsia="zh-CN"/>
        </w:rPr>
        <w:t>3万元</w:t>
      </w:r>
      <w:r>
        <w:rPr>
          <w:rFonts w:hint="eastAsia"/>
          <w:lang w:val="en-US" w:eastAsia="zh-CN"/>
        </w:rPr>
        <w:t>资助</w:t>
      </w:r>
      <w:r>
        <w:rPr>
          <w:lang w:val="en-US" w:eastAsia="zh-CN"/>
        </w:rPr>
        <w:t>。</w:t>
      </w:r>
    </w:p>
    <w:p>
      <w:pPr>
        <w:pStyle w:val="34"/>
        <w:bidi w:val="0"/>
        <w:rPr>
          <w:lang w:val="en-US" w:eastAsia="zh-CN"/>
        </w:rPr>
      </w:pPr>
      <w:r>
        <w:rPr>
          <w:rFonts w:hint="eastAsia"/>
          <w:lang w:val="en-US" w:eastAsia="zh-CN"/>
        </w:rPr>
        <w:t>6.申报条件：</w:t>
      </w:r>
      <w:r>
        <w:rPr>
          <w:lang w:val="en-US" w:eastAsia="zh-CN"/>
        </w:rPr>
        <w:t>开展契合温江区</w:t>
      </w:r>
      <w:r>
        <w:rPr>
          <w:rFonts w:hint="eastAsia"/>
          <w:lang w:val="en-US" w:eastAsia="zh-CN"/>
        </w:rPr>
        <w:t>“</w:t>
      </w:r>
      <w:r>
        <w:rPr>
          <w:lang w:val="en-US" w:eastAsia="zh-CN"/>
        </w:rPr>
        <w:t>3+6</w:t>
      </w:r>
      <w:r>
        <w:rPr>
          <w:rFonts w:hint="eastAsia"/>
          <w:lang w:val="en-US" w:eastAsia="zh-CN"/>
        </w:rPr>
        <w:t>”</w:t>
      </w:r>
      <w:r>
        <w:rPr>
          <w:lang w:val="en-US" w:eastAsia="zh-CN"/>
        </w:rPr>
        <w:t>现代化产业体系发展的知识产权促进类工作。</w:t>
      </w:r>
    </w:p>
    <w:p>
      <w:pPr>
        <w:pStyle w:val="34"/>
        <w:bidi w:val="0"/>
        <w:rPr>
          <w:rFonts w:hint="eastAsia"/>
          <w:lang w:val="en-US" w:eastAsia="zh-CN"/>
        </w:rPr>
      </w:pPr>
      <w:r>
        <w:rPr>
          <w:rFonts w:hint="eastAsia"/>
          <w:lang w:val="en-US" w:eastAsia="zh-CN"/>
        </w:rPr>
        <w:t>7.办理方式：</w:t>
      </w:r>
    </w:p>
    <w:p>
      <w:pPr>
        <w:pStyle w:val="34"/>
        <w:bidi w:val="0"/>
        <w:rPr>
          <w:rFonts w:hint="eastAsia"/>
          <w:lang w:val="en-US" w:eastAsia="zh-CN"/>
        </w:rPr>
      </w:pPr>
      <w:r>
        <w:rPr>
          <w:rFonts w:hint="eastAsia"/>
          <w:lang w:val="en-US" w:eastAsia="zh-CN"/>
        </w:rPr>
        <w:t>（1）资格认定：</w:t>
      </w:r>
    </w:p>
    <w:p>
      <w:pPr>
        <w:pStyle w:val="34"/>
        <w:bidi w:val="0"/>
        <w:rPr>
          <w:lang w:val="en-US" w:eastAsia="zh-CN"/>
        </w:rPr>
      </w:pPr>
      <w:r>
        <w:rPr>
          <w:rFonts w:hint="eastAsia"/>
          <w:lang w:val="en-US" w:eastAsia="zh-CN"/>
        </w:rPr>
        <w:t>①申报。申报主体根据当年发布申报要求提供以下纸质盖章版申报材料：</w:t>
      </w:r>
      <w:r>
        <w:rPr>
          <w:lang w:val="en-US" w:eastAsia="zh-CN"/>
        </w:rPr>
        <w:t>专利分析预警导航类</w:t>
      </w:r>
      <w:r>
        <w:rPr>
          <w:rFonts w:hint="eastAsia"/>
          <w:lang w:val="en-US" w:eastAsia="zh-CN"/>
        </w:rPr>
        <w:t>需</w:t>
      </w:r>
      <w:r>
        <w:rPr>
          <w:lang w:val="en-US" w:eastAsia="zh-CN"/>
        </w:rPr>
        <w:t>提供专利导航、专利预警分析、FTO分析、专利查新、企业微导航报告，相应工作委托第三方机构服务合同及银行划款凭证、发票等证明材料</w:t>
      </w:r>
      <w:r>
        <w:rPr>
          <w:rFonts w:hint="eastAsia"/>
          <w:lang w:val="en-US" w:eastAsia="zh-CN"/>
        </w:rPr>
        <w:t>；</w:t>
      </w:r>
      <w:r>
        <w:rPr>
          <w:lang w:val="en-US" w:eastAsia="zh-CN"/>
        </w:rPr>
        <w:t>上市知识产权辅导类</w:t>
      </w:r>
      <w:r>
        <w:rPr>
          <w:rFonts w:hint="eastAsia"/>
          <w:lang w:val="en-US" w:eastAsia="zh-CN"/>
        </w:rPr>
        <w:t>需</w:t>
      </w:r>
      <w:r>
        <w:rPr>
          <w:lang w:val="en-US" w:eastAsia="zh-CN"/>
        </w:rPr>
        <w:t>提供通过上市知识产权辅导，并成功上市的证明材料、委托第三方机构服务合同书、银行划款凭证、发票等证明材料</w:t>
      </w:r>
      <w:r>
        <w:rPr>
          <w:rFonts w:hint="eastAsia"/>
          <w:lang w:val="en-US" w:eastAsia="zh-CN"/>
        </w:rPr>
        <w:t>；</w:t>
      </w:r>
      <w:r>
        <w:rPr>
          <w:lang w:val="en-US" w:eastAsia="zh-CN"/>
        </w:rPr>
        <w:t>商业秘密保护体系建设类</w:t>
      </w:r>
      <w:r>
        <w:rPr>
          <w:rFonts w:hint="eastAsia"/>
          <w:lang w:val="en-US" w:eastAsia="zh-CN"/>
        </w:rPr>
        <w:t>需</w:t>
      </w:r>
      <w:r>
        <w:rPr>
          <w:lang w:val="en-US" w:eastAsia="zh-CN"/>
        </w:rPr>
        <w:t>提供商业秘密保护体系建设成果证明材料、委托第三方机构服务合同书、银行划款凭证、发票等证明材料</w:t>
      </w:r>
      <w:r>
        <w:rPr>
          <w:rFonts w:hint="eastAsia"/>
          <w:lang w:val="en-US" w:eastAsia="zh-CN"/>
        </w:rPr>
        <w:t>；</w:t>
      </w:r>
      <w:r>
        <w:rPr>
          <w:lang w:val="en-US" w:eastAsia="zh-CN"/>
        </w:rPr>
        <w:t>诚信申报承诺书。</w:t>
      </w:r>
    </w:p>
    <w:p>
      <w:pPr>
        <w:pStyle w:val="34"/>
        <w:bidi w:val="0"/>
        <w:rPr>
          <w:rFonts w:hint="eastAsia"/>
          <w:lang w:val="en-US" w:eastAsia="zh-CN"/>
        </w:rPr>
      </w:pPr>
      <w:r>
        <w:rPr>
          <w:rFonts w:hint="eastAsia"/>
          <w:lang w:val="en-US" w:eastAsia="zh-CN"/>
        </w:rPr>
        <w:t>②评审。由</w:t>
      </w:r>
      <w:r>
        <w:rPr>
          <w:lang w:val="en-US" w:eastAsia="zh-CN"/>
        </w:rPr>
        <w:t>区市场监管局（区知识产权局）</w:t>
      </w:r>
      <w:r>
        <w:rPr>
          <w:rFonts w:hint="eastAsia"/>
          <w:lang w:val="en-US" w:eastAsia="zh-CN"/>
        </w:rPr>
        <w:t>对申报资料进行初审；</w:t>
      </w:r>
      <w:r>
        <w:rPr>
          <w:lang w:val="en-US" w:eastAsia="zh-CN"/>
        </w:rPr>
        <w:t>区市场监管局（区知识产权局）</w:t>
      </w:r>
      <w:r>
        <w:rPr>
          <w:rFonts w:hint="eastAsia"/>
          <w:lang w:val="en-US" w:eastAsia="zh-CN"/>
        </w:rPr>
        <w:t>召集相关领域专家、单位组成评审组，对初审通过项目进行现场综合评审，项目企业参与现场答辩，评审组综合项目建设、成果等因素出具评审意见和评审分数，评审分数90分及以上的确定为资助对象。</w:t>
      </w:r>
    </w:p>
    <w:p>
      <w:pPr>
        <w:pStyle w:val="34"/>
        <w:bidi w:val="0"/>
        <w:rPr>
          <w:rFonts w:hint="eastAsia"/>
          <w:lang w:val="en-US" w:eastAsia="zh-CN"/>
        </w:rPr>
      </w:pPr>
      <w:r>
        <w:rPr>
          <w:rFonts w:hint="eastAsia"/>
          <w:lang w:val="en-US" w:eastAsia="zh-CN"/>
        </w:rPr>
        <w:t>（2）免申即享：惠企事项责任单位通过温江区智慧企业服务平台审核办理。</w:t>
      </w:r>
    </w:p>
    <w:p>
      <w:pPr>
        <w:pStyle w:val="34"/>
        <w:bidi w:val="0"/>
        <w:rPr>
          <w:lang w:val="en-US" w:eastAsia="zh-CN"/>
        </w:rPr>
      </w:pPr>
      <w:r>
        <w:rPr>
          <w:rFonts w:hint="eastAsia"/>
          <w:lang w:val="en-US" w:eastAsia="zh-CN"/>
        </w:rPr>
        <w:t>8.惠企事项责任部门：</w:t>
      </w:r>
      <w:r>
        <w:rPr>
          <w:lang w:val="en-US" w:eastAsia="zh-CN"/>
        </w:rPr>
        <w:t>区市场监管局（区知识产权局）</w:t>
      </w:r>
      <w:r>
        <w:rPr>
          <w:rFonts w:hint="eastAsia"/>
          <w:lang w:val="en-US" w:eastAsia="zh-CN"/>
        </w:rPr>
        <w:t>。</w:t>
      </w:r>
    </w:p>
    <w:p>
      <w:pPr>
        <w:pStyle w:val="34"/>
        <w:bidi w:val="0"/>
        <w:rPr>
          <w:lang w:val="en-US" w:eastAsia="zh-CN"/>
        </w:rPr>
      </w:pPr>
      <w:r>
        <w:rPr>
          <w:rFonts w:hint="eastAsia"/>
          <w:lang w:val="en-US" w:eastAsia="zh-CN"/>
        </w:rPr>
        <w:t>9.责任科室：知识产权管理保护科。</w:t>
      </w:r>
    </w:p>
    <w:p>
      <w:pPr>
        <w:pStyle w:val="34"/>
        <w:bidi w:val="0"/>
        <w:rPr>
          <w:lang w:val="en-US" w:eastAsia="zh-CN"/>
        </w:rPr>
      </w:pPr>
      <w:r>
        <w:rPr>
          <w:rFonts w:hint="eastAsia"/>
          <w:lang w:val="en-US" w:eastAsia="zh-CN"/>
        </w:rPr>
        <w:t>10.联系方式：</w:t>
      </w:r>
      <w:r>
        <w:rPr>
          <w:lang w:val="en-US" w:eastAsia="zh-CN"/>
        </w:rPr>
        <w:t>028</w:t>
      </w:r>
      <w:r>
        <w:rPr>
          <w:rFonts w:hint="eastAsia"/>
          <w:lang w:val="en-US" w:eastAsia="zh-CN"/>
        </w:rPr>
        <w:t>—</w:t>
      </w:r>
      <w:r>
        <w:rPr>
          <w:lang w:val="en-US" w:eastAsia="zh-CN"/>
        </w:rPr>
        <w:t>82746023</w:t>
      </w:r>
      <w:r>
        <w:rPr>
          <w:rFonts w:hint="eastAsia"/>
          <w:lang w:val="en-US" w:eastAsia="zh-CN"/>
        </w:rPr>
        <w:t>。</w:t>
      </w:r>
    </w:p>
    <w:p>
      <w:pPr>
        <w:pStyle w:val="4"/>
        <w:bidi w:val="0"/>
        <w:rPr>
          <w:rFonts w:hint="eastAsia"/>
          <w:lang w:val="en-US" w:eastAsia="zh-CN"/>
        </w:rPr>
      </w:pPr>
      <w:r>
        <w:rPr>
          <w:rFonts w:hint="eastAsia"/>
          <w:lang w:val="en-US" w:eastAsia="zh-CN"/>
        </w:rPr>
        <w:t>（三）</w:t>
      </w:r>
      <w:r>
        <w:rPr>
          <w:rFonts w:hint="default"/>
          <w:lang w:val="en-US" w:eastAsia="zh-CN"/>
        </w:rPr>
        <w:t>支持</w:t>
      </w:r>
      <w:r>
        <w:rPr>
          <w:rFonts w:hint="eastAsia"/>
          <w:lang w:val="en-US" w:eastAsia="zh-CN"/>
        </w:rPr>
        <w:t>知识产权综合能力建设</w:t>
      </w:r>
    </w:p>
    <w:p>
      <w:pPr>
        <w:pStyle w:val="34"/>
        <w:bidi w:val="0"/>
        <w:rPr>
          <w:lang w:val="en-US" w:eastAsia="zh-CN"/>
        </w:rPr>
      </w:pPr>
      <w:r>
        <w:rPr>
          <w:rFonts w:hint="eastAsia"/>
          <w:lang w:val="en-US" w:eastAsia="zh-CN"/>
        </w:rPr>
        <w:t>1.政策依据：《成都市温江区促进知识产权创新发展政策措施（修订）》（温府规〔2025〕1号）第九条。</w:t>
      </w:r>
    </w:p>
    <w:p>
      <w:pPr>
        <w:pStyle w:val="34"/>
        <w:bidi w:val="0"/>
        <w:rPr>
          <w:lang w:val="en-US" w:eastAsia="zh-CN"/>
        </w:rPr>
      </w:pPr>
      <w:r>
        <w:rPr>
          <w:rFonts w:hint="eastAsia"/>
          <w:lang w:val="en-US" w:eastAsia="zh-CN"/>
        </w:rPr>
        <w:t>2.事项内容：对省级及以上知识产权运营体系建设单位，给予每年最高100万元资助。</w:t>
      </w:r>
    </w:p>
    <w:p>
      <w:pPr>
        <w:pStyle w:val="34"/>
        <w:bidi w:val="0"/>
        <w:rPr>
          <w:lang w:val="en-US" w:eastAsia="zh-CN"/>
        </w:rPr>
      </w:pPr>
      <w:r>
        <w:rPr>
          <w:rFonts w:hint="eastAsia"/>
          <w:lang w:val="en-US" w:eastAsia="zh-CN"/>
        </w:rPr>
        <w:t>3.事项分类：易申快享。</w:t>
      </w:r>
    </w:p>
    <w:p>
      <w:pPr>
        <w:pStyle w:val="34"/>
        <w:bidi w:val="0"/>
        <w:rPr>
          <w:lang w:val="en-US" w:eastAsia="zh-CN"/>
        </w:rPr>
      </w:pPr>
      <w:r>
        <w:rPr>
          <w:rFonts w:hint="eastAsia"/>
          <w:lang w:val="en-US" w:eastAsia="zh-CN"/>
        </w:rPr>
        <w:t>4.支持对象：住所或主要生产、经营活动在温江区的企业。</w:t>
      </w:r>
    </w:p>
    <w:p>
      <w:pPr>
        <w:pStyle w:val="34"/>
        <w:bidi w:val="0"/>
        <w:rPr>
          <w:lang w:val="en-US" w:eastAsia="zh-CN"/>
        </w:rPr>
      </w:pPr>
      <w:r>
        <w:rPr>
          <w:rFonts w:hint="eastAsia"/>
          <w:lang w:val="en-US" w:eastAsia="zh-CN"/>
        </w:rPr>
        <w:t>5.支持标准：</w:t>
      </w:r>
      <w:bookmarkStart w:id="8" w:name="OLE_LINK93"/>
      <w:r>
        <w:rPr>
          <w:rFonts w:hint="eastAsia"/>
          <w:lang w:val="en-US" w:eastAsia="zh-CN"/>
        </w:rPr>
        <w:t>每年不超过100万元资助。</w:t>
      </w:r>
    </w:p>
    <w:bookmarkEnd w:id="8"/>
    <w:p>
      <w:pPr>
        <w:pStyle w:val="34"/>
        <w:bidi w:val="0"/>
        <w:rPr>
          <w:lang w:val="en-US" w:eastAsia="zh-CN"/>
        </w:rPr>
      </w:pPr>
      <w:r>
        <w:rPr>
          <w:rFonts w:hint="eastAsia"/>
          <w:lang w:val="en-US" w:eastAsia="zh-CN"/>
        </w:rPr>
        <w:t>6.申报条件：</w:t>
      </w:r>
      <w:r>
        <w:rPr>
          <w:lang w:val="en-US" w:eastAsia="zh-CN"/>
        </w:rPr>
        <w:t>申报主体被认定为省级知识产权运营体系</w:t>
      </w:r>
      <w:r>
        <w:rPr>
          <w:rFonts w:hint="eastAsia"/>
          <w:lang w:val="en-US" w:eastAsia="zh-CN"/>
        </w:rPr>
        <w:t>基础</w:t>
      </w:r>
      <w:r>
        <w:rPr>
          <w:lang w:val="en-US" w:eastAsia="zh-CN"/>
        </w:rPr>
        <w:t>建设单位。</w:t>
      </w:r>
    </w:p>
    <w:p>
      <w:pPr>
        <w:pStyle w:val="34"/>
        <w:bidi w:val="0"/>
        <w:rPr>
          <w:rFonts w:hint="default"/>
          <w:highlight w:val="yellow"/>
          <w:lang w:val="en-US" w:eastAsia="zh-CN"/>
        </w:rPr>
      </w:pPr>
      <w:r>
        <w:rPr>
          <w:rFonts w:hint="eastAsia"/>
          <w:highlight w:val="none"/>
          <w:lang w:val="en-US" w:eastAsia="zh-CN"/>
        </w:rPr>
        <w:t>7.申报材料：</w:t>
      </w:r>
      <w:r>
        <w:rPr>
          <w:lang w:val="en-US" w:eastAsia="zh-CN"/>
        </w:rPr>
        <w:t>申报主体被认定为省级知识产权运营体系</w:t>
      </w:r>
      <w:r>
        <w:rPr>
          <w:rFonts w:hint="eastAsia"/>
          <w:lang w:val="en-US" w:eastAsia="zh-CN"/>
        </w:rPr>
        <w:t>基础</w:t>
      </w:r>
      <w:r>
        <w:rPr>
          <w:lang w:val="en-US" w:eastAsia="zh-CN"/>
        </w:rPr>
        <w:t>建设单位</w:t>
      </w:r>
      <w:r>
        <w:rPr>
          <w:rFonts w:hint="eastAsia"/>
          <w:lang w:val="en-US" w:eastAsia="zh-CN"/>
        </w:rPr>
        <w:t>的相关证明文件。</w:t>
      </w:r>
    </w:p>
    <w:p>
      <w:pPr>
        <w:pStyle w:val="34"/>
        <w:bidi w:val="0"/>
        <w:rPr>
          <w:rFonts w:hint="default"/>
          <w:lang w:val="en-US" w:eastAsia="zh-CN"/>
        </w:rPr>
      </w:pPr>
      <w:r>
        <w:rPr>
          <w:rFonts w:hint="eastAsia"/>
          <w:lang w:val="en-US" w:eastAsia="zh-CN"/>
        </w:rPr>
        <w:t>8.申报渠道：本政策事项申报通过温江区智慧企业服务平台申报，申报主体按照政策申报通知要求上传申报材料。</w:t>
      </w:r>
      <w:bookmarkStart w:id="11" w:name="_GoBack"/>
      <w:bookmarkEnd w:id="11"/>
    </w:p>
    <w:p>
      <w:pPr>
        <w:pStyle w:val="34"/>
        <w:bidi w:val="0"/>
        <w:rPr>
          <w:rFonts w:hint="eastAsia"/>
          <w:lang w:val="en-US" w:eastAsia="zh-CN"/>
        </w:rPr>
      </w:pPr>
      <w:r>
        <w:rPr>
          <w:rFonts w:hint="eastAsia"/>
          <w:lang w:val="en-US" w:eastAsia="zh-CN"/>
        </w:rPr>
        <w:t>9.惠企事项责任部门：区市场监管局（区知识产权局）。</w:t>
      </w:r>
    </w:p>
    <w:p>
      <w:pPr>
        <w:pStyle w:val="34"/>
        <w:bidi w:val="0"/>
        <w:rPr>
          <w:rFonts w:hint="eastAsia"/>
          <w:lang w:val="en-US" w:eastAsia="zh-CN"/>
        </w:rPr>
      </w:pPr>
      <w:r>
        <w:rPr>
          <w:rFonts w:hint="eastAsia"/>
          <w:lang w:val="en-US" w:eastAsia="zh-CN"/>
        </w:rPr>
        <w:t>10.责任科室：知识产权管理保护科。</w:t>
      </w:r>
    </w:p>
    <w:p>
      <w:pPr>
        <w:pStyle w:val="34"/>
        <w:bidi w:val="0"/>
        <w:rPr>
          <w:rFonts w:hint="eastAsia"/>
          <w:lang w:val="en-US" w:eastAsia="zh-CN"/>
        </w:rPr>
      </w:pPr>
      <w:r>
        <w:rPr>
          <w:rFonts w:hint="eastAsia"/>
          <w:lang w:val="en-US" w:eastAsia="zh-CN"/>
        </w:rPr>
        <w:t>11.联系方式：028—82746023。</w:t>
      </w:r>
    </w:p>
    <w:p>
      <w:pPr>
        <w:pStyle w:val="3"/>
        <w:bidi w:val="0"/>
        <w:rPr>
          <w:rFonts w:hint="eastAsia"/>
          <w:lang w:val="en-US" w:eastAsia="zh-CN"/>
        </w:rPr>
      </w:pPr>
      <w:r>
        <w:rPr>
          <w:rFonts w:hint="eastAsia"/>
          <w:lang w:val="en-US" w:eastAsia="zh-CN"/>
        </w:rPr>
        <w:t>五、促进知识产权高品质服务</w:t>
      </w:r>
    </w:p>
    <w:p>
      <w:pPr>
        <w:pStyle w:val="4"/>
        <w:bidi w:val="0"/>
        <w:rPr>
          <w:rFonts w:hint="eastAsia"/>
          <w:lang w:val="en-US" w:eastAsia="zh-CN"/>
        </w:rPr>
      </w:pPr>
      <w:r>
        <w:rPr>
          <w:rFonts w:hint="eastAsia"/>
          <w:lang w:val="en-US" w:eastAsia="zh-CN"/>
        </w:rPr>
        <w:t>（一）支持知识产权服务能力提升</w:t>
      </w:r>
    </w:p>
    <w:p>
      <w:pPr>
        <w:pStyle w:val="34"/>
        <w:bidi w:val="0"/>
        <w:rPr>
          <w:rFonts w:hint="eastAsia"/>
          <w:lang w:val="en-US" w:eastAsia="zh-CN"/>
        </w:rPr>
      </w:pPr>
      <w:r>
        <w:rPr>
          <w:rFonts w:hint="eastAsia"/>
          <w:lang w:val="en-US" w:eastAsia="zh-CN"/>
        </w:rPr>
        <w:t>1.政策依据：《成都市温江区促进知识产权创新发展政策措施（修订）》（温府规〔2025〕1号）第十条。</w:t>
      </w:r>
    </w:p>
    <w:p>
      <w:pPr>
        <w:pStyle w:val="34"/>
        <w:bidi w:val="0"/>
        <w:rPr>
          <w:rFonts w:hint="eastAsia"/>
          <w:lang w:val="en-US" w:eastAsia="zh-CN"/>
        </w:rPr>
      </w:pPr>
      <w:r>
        <w:rPr>
          <w:rFonts w:hint="eastAsia"/>
          <w:lang w:val="en-US" w:eastAsia="zh-CN"/>
        </w:rPr>
        <w:t>2.事项内容：对国内外高端知识产权服务机构在温江区内设立的知识产权服务机构，在获得市知识产权主管部门相关认定资助后，给予10万元一次性资助。</w:t>
      </w:r>
    </w:p>
    <w:p>
      <w:pPr>
        <w:pStyle w:val="34"/>
        <w:bidi w:val="0"/>
        <w:rPr>
          <w:rFonts w:hint="eastAsia"/>
          <w:lang w:val="en-US" w:eastAsia="zh-CN"/>
        </w:rPr>
      </w:pPr>
      <w:r>
        <w:rPr>
          <w:rFonts w:hint="eastAsia"/>
          <w:lang w:val="en-US" w:eastAsia="zh-CN"/>
        </w:rPr>
        <w:t>3.事项分类：免申即享。</w:t>
      </w:r>
    </w:p>
    <w:p>
      <w:pPr>
        <w:pStyle w:val="34"/>
        <w:bidi w:val="0"/>
        <w:rPr>
          <w:rFonts w:hint="eastAsia"/>
          <w:lang w:val="en-US" w:eastAsia="zh-CN"/>
        </w:rPr>
      </w:pPr>
      <w:r>
        <w:rPr>
          <w:rFonts w:hint="eastAsia"/>
          <w:lang w:val="en-US" w:eastAsia="zh-CN"/>
        </w:rPr>
        <w:t>4.支持对象：住所或主要生产、经营活动在温江区的知识产权服务机构。</w:t>
      </w:r>
    </w:p>
    <w:p>
      <w:pPr>
        <w:pStyle w:val="34"/>
        <w:bidi w:val="0"/>
        <w:rPr>
          <w:rFonts w:hint="default"/>
          <w:lang w:val="en-US" w:eastAsia="zh-CN"/>
        </w:rPr>
      </w:pPr>
      <w:r>
        <w:rPr>
          <w:rFonts w:hint="eastAsia"/>
          <w:lang w:val="en-US" w:eastAsia="zh-CN"/>
        </w:rPr>
        <w:t>5.支持标准：10万元一次性资助。</w:t>
      </w:r>
    </w:p>
    <w:p>
      <w:pPr>
        <w:pStyle w:val="34"/>
        <w:bidi w:val="0"/>
        <w:rPr>
          <w:rFonts w:hint="eastAsia"/>
          <w:lang w:val="en-US" w:eastAsia="zh-CN"/>
        </w:rPr>
      </w:pPr>
      <w:r>
        <w:rPr>
          <w:rFonts w:hint="eastAsia"/>
          <w:lang w:val="en-US" w:eastAsia="zh-CN"/>
        </w:rPr>
        <w:t>6.申报条件：国内外高端知识产权服务机构在温江区设立知识产权服务机构，温江区机构获得市知识产权主管部门认定资助。</w:t>
      </w:r>
    </w:p>
    <w:p>
      <w:pPr>
        <w:pStyle w:val="34"/>
        <w:bidi w:val="0"/>
        <w:rPr>
          <w:rFonts w:hint="eastAsia"/>
          <w:lang w:val="en-US" w:eastAsia="zh-CN"/>
        </w:rPr>
      </w:pPr>
      <w:r>
        <w:rPr>
          <w:rFonts w:hint="eastAsia"/>
          <w:lang w:val="en-US" w:eastAsia="zh-CN"/>
        </w:rPr>
        <w:t>7.办理方式：惠企事项责任单位通过温江区智慧企业服务平台审核办理。</w:t>
      </w:r>
    </w:p>
    <w:p>
      <w:pPr>
        <w:pStyle w:val="34"/>
        <w:bidi w:val="0"/>
        <w:rPr>
          <w:rFonts w:hint="eastAsia"/>
          <w:lang w:val="en-US" w:eastAsia="zh-CN"/>
        </w:rPr>
      </w:pPr>
      <w:r>
        <w:rPr>
          <w:rFonts w:hint="eastAsia"/>
          <w:lang w:val="en-US" w:eastAsia="zh-CN"/>
        </w:rPr>
        <w:t>8.惠企事项责任部门：区市场监管局（区知识产权局）。</w:t>
      </w:r>
    </w:p>
    <w:p>
      <w:pPr>
        <w:pStyle w:val="34"/>
        <w:bidi w:val="0"/>
        <w:rPr>
          <w:rFonts w:hint="eastAsia"/>
          <w:lang w:val="en-US" w:eastAsia="zh-CN"/>
        </w:rPr>
      </w:pPr>
      <w:r>
        <w:rPr>
          <w:rFonts w:hint="eastAsia"/>
          <w:lang w:val="en-US" w:eastAsia="zh-CN"/>
        </w:rPr>
        <w:t>9.责任科室：知识产权管理保护科。</w:t>
      </w:r>
    </w:p>
    <w:p>
      <w:pPr>
        <w:pStyle w:val="34"/>
        <w:bidi w:val="0"/>
        <w:rPr>
          <w:rFonts w:hint="eastAsia"/>
          <w:lang w:val="en-US" w:eastAsia="zh-CN"/>
        </w:rPr>
      </w:pPr>
      <w:r>
        <w:rPr>
          <w:rFonts w:hint="eastAsia"/>
          <w:lang w:val="en-US" w:eastAsia="zh-CN"/>
        </w:rPr>
        <w:t>10.联系方式：028—82746023。</w:t>
      </w:r>
    </w:p>
    <w:p>
      <w:pPr>
        <w:pStyle w:val="3"/>
        <w:bidi w:val="0"/>
        <w:rPr>
          <w:rFonts w:hint="default"/>
          <w:lang w:val="en-US" w:eastAsia="zh-CN"/>
        </w:rPr>
      </w:pPr>
      <w:r>
        <w:rPr>
          <w:rFonts w:hint="eastAsia"/>
          <w:lang w:val="en-US" w:eastAsia="zh-CN"/>
        </w:rPr>
        <w:t>六、附则</w:t>
      </w:r>
    </w:p>
    <w:p>
      <w:pPr>
        <w:pStyle w:val="34"/>
        <w:bidi w:val="0"/>
        <w:rPr>
          <w:lang w:val="en-US" w:eastAsia="zh-CN"/>
        </w:rPr>
      </w:pPr>
      <w:r>
        <w:rPr>
          <w:lang w:val="en-US" w:eastAsia="zh-CN"/>
        </w:rPr>
        <w:t>（</w:t>
      </w:r>
      <w:r>
        <w:rPr>
          <w:rFonts w:hint="eastAsia"/>
          <w:lang w:val="en-US" w:eastAsia="zh-CN"/>
        </w:rPr>
        <w:t>一</w:t>
      </w:r>
      <w:r>
        <w:rPr>
          <w:lang w:val="en-US" w:eastAsia="zh-CN"/>
        </w:rPr>
        <w:t>）本</w:t>
      </w:r>
      <w:r>
        <w:rPr>
          <w:rFonts w:hint="eastAsia"/>
          <w:lang w:val="en-US" w:eastAsia="zh-CN"/>
        </w:rPr>
        <w:t>实施细则</w:t>
      </w:r>
      <w:r>
        <w:rPr>
          <w:lang w:val="en-US" w:eastAsia="zh-CN"/>
        </w:rPr>
        <w:t>支持对象</w:t>
      </w:r>
      <w:r>
        <w:rPr>
          <w:rFonts w:hint="eastAsia"/>
          <w:lang w:val="en-US" w:eastAsia="zh-CN"/>
        </w:rPr>
        <w:t>应</w:t>
      </w:r>
      <w:r>
        <w:rPr>
          <w:lang w:val="en-US" w:eastAsia="zh-CN"/>
        </w:rPr>
        <w:t>无不良信用记录，自觉遵守安全生产、环境保护等方面的法律法规，近三年未发生重大安</w:t>
      </w:r>
      <w:r>
        <w:rPr>
          <w:rFonts w:hint="eastAsia"/>
          <w:lang w:val="en-US" w:eastAsia="zh-CN"/>
        </w:rPr>
        <w:t>全事故。</w:t>
      </w:r>
    </w:p>
    <w:p>
      <w:pPr>
        <w:pStyle w:val="34"/>
        <w:bidi w:val="0"/>
        <w:rPr>
          <w:lang w:val="en-US" w:eastAsia="zh-CN"/>
        </w:rPr>
      </w:pPr>
      <w:r>
        <w:rPr>
          <w:rFonts w:hint="eastAsia"/>
          <w:lang w:val="en-US" w:eastAsia="zh-CN"/>
        </w:rPr>
        <w:t>（二）对于适用“易申快享”申报流程的政策事项，申报时间原则上为每年集中申报一次，具体时间以温江区智慧企业服务平台(https://www.wenjiang.gov.cn/service/)发布的申报通知为准，申报主体</w:t>
      </w:r>
      <w:r>
        <w:rPr>
          <w:lang w:val="en-US" w:eastAsia="zh-CN"/>
        </w:rPr>
        <w:t>应在达到</w:t>
      </w:r>
      <w:r>
        <w:rPr>
          <w:rFonts w:hint="eastAsia"/>
          <w:lang w:val="en-US" w:eastAsia="zh-CN"/>
        </w:rPr>
        <w:t>资助</w:t>
      </w:r>
      <w:r>
        <w:rPr>
          <w:lang w:val="en-US" w:eastAsia="zh-CN"/>
        </w:rPr>
        <w:t>条件后按申报通知要求及时提出，逾期不申请视同自动放弃。</w:t>
      </w:r>
    </w:p>
    <w:p>
      <w:pPr>
        <w:pStyle w:val="34"/>
        <w:bidi w:val="0"/>
        <w:rPr>
          <w:lang w:val="en-US" w:eastAsia="zh-CN"/>
        </w:rPr>
      </w:pPr>
      <w:r>
        <w:rPr>
          <w:lang w:val="en-US" w:eastAsia="zh-CN"/>
        </w:rPr>
        <w:t>（</w:t>
      </w:r>
      <w:r>
        <w:rPr>
          <w:rFonts w:hint="eastAsia"/>
          <w:lang w:val="en-US" w:eastAsia="zh-CN"/>
        </w:rPr>
        <w:t>三</w:t>
      </w:r>
      <w:r>
        <w:rPr>
          <w:lang w:val="en-US" w:eastAsia="zh-CN"/>
        </w:rPr>
        <w:t>）本</w:t>
      </w:r>
      <w:r>
        <w:rPr>
          <w:rFonts w:hint="eastAsia"/>
          <w:lang w:val="en-US" w:eastAsia="zh-CN"/>
        </w:rPr>
        <w:t>实施</w:t>
      </w:r>
      <w:r>
        <w:rPr>
          <w:lang w:val="en-US" w:eastAsia="zh-CN"/>
        </w:rPr>
        <w:t>细则涉及申报材料，以</w:t>
      </w:r>
      <w:r>
        <w:rPr>
          <w:rFonts w:hint="eastAsia"/>
          <w:lang w:val="en-US" w:eastAsia="zh-CN"/>
        </w:rPr>
        <w:t>当期</w:t>
      </w:r>
      <w:r>
        <w:rPr>
          <w:lang w:val="en-US" w:eastAsia="zh-CN"/>
        </w:rPr>
        <w:t>申报通知为准。</w:t>
      </w:r>
    </w:p>
    <w:p>
      <w:pPr>
        <w:pStyle w:val="34"/>
        <w:bidi w:val="0"/>
        <w:rPr>
          <w:rFonts w:hint="eastAsia"/>
          <w:lang w:val="en-US" w:eastAsia="zh-CN"/>
        </w:rPr>
      </w:pPr>
      <w:r>
        <w:rPr>
          <w:rFonts w:hint="eastAsia"/>
          <w:lang w:val="en-US" w:eastAsia="zh-CN"/>
        </w:rPr>
        <w:t>（四）知识产权资助经费纳入本级财政预算，专款专用，主动接受财政、审计等部门的监督检查。</w:t>
      </w:r>
    </w:p>
    <w:p>
      <w:pPr>
        <w:pStyle w:val="34"/>
        <w:bidi w:val="0"/>
        <w:rPr>
          <w:rFonts w:hint="default"/>
          <w:lang w:val="en-US" w:eastAsia="zh-CN"/>
        </w:rPr>
      </w:pPr>
      <w:r>
        <w:rPr>
          <w:rFonts w:hint="eastAsia"/>
          <w:lang w:val="en-US" w:eastAsia="zh-CN"/>
        </w:rPr>
        <w:t>（五）对项目公示情况有异议的单位或个人，自项目公示之日起5个工作日内，个人提供本人签字、单位提供加盖公章的书面异议材料及必要证明材料送交成都市温江区市场监督管理局（区知识产权局），并提供联系方式，逾期不予受理；成都市温江区市场监督管理局（区知识产权局）负责异议协调处理，必要时组织专家进行调查，提出处理意见，涉及异议的各方有义务配合调查、核实。单位和个人必须提供真实的材料和凭证，并接受成都市温江区市场监督管理局（区知识产权局）的监督管理，对恶意隐瞒重大违法违规事项和责任事故，以及编造虚假项目、票据和其他佐证资料套取财政资金的申报主体，终止资助并全额追回已资助资金，连续2年内不再受理政策申报，并依法依规处理。</w:t>
      </w:r>
    </w:p>
    <w:p>
      <w:pPr>
        <w:pStyle w:val="34"/>
        <w:bidi w:val="0"/>
      </w:pPr>
      <w:r>
        <w:rPr>
          <w:lang w:val="en-US" w:eastAsia="zh-CN"/>
        </w:rPr>
        <w:t>（</w:t>
      </w:r>
      <w:r>
        <w:rPr>
          <w:rFonts w:hint="eastAsia"/>
          <w:lang w:val="en-US" w:eastAsia="zh-CN"/>
        </w:rPr>
        <w:t>六）</w:t>
      </w:r>
      <w:bookmarkStart w:id="9" w:name="OLE_LINK2"/>
      <w:r>
        <w:rPr>
          <w:lang w:val="en-US" w:eastAsia="zh-CN"/>
        </w:rPr>
        <w:t>本</w:t>
      </w:r>
      <w:r>
        <w:rPr>
          <w:rFonts w:hint="eastAsia"/>
          <w:lang w:val="en-US" w:eastAsia="zh-CN"/>
        </w:rPr>
        <w:t>实施</w:t>
      </w:r>
      <w:r>
        <w:rPr>
          <w:lang w:val="en-US" w:eastAsia="zh-CN"/>
        </w:rPr>
        <w:t>细则</w:t>
      </w:r>
      <w:bookmarkEnd w:id="9"/>
      <w:r>
        <w:rPr>
          <w:lang w:val="en-US" w:eastAsia="zh-CN"/>
        </w:rPr>
        <w:t>自印发之日起实施，</w:t>
      </w:r>
      <w:r>
        <w:rPr>
          <w:rFonts w:hint="eastAsia"/>
          <w:lang w:val="en-US" w:eastAsia="zh-CN"/>
        </w:rPr>
        <w:t>有效期至</w:t>
      </w:r>
      <w:bookmarkStart w:id="10" w:name="OLE_LINK3"/>
      <w:r>
        <w:rPr>
          <w:lang w:val="en-US" w:eastAsia="zh-CN"/>
        </w:rPr>
        <w:t>《</w:t>
      </w:r>
      <w:r>
        <w:rPr>
          <w:rFonts w:hint="eastAsia"/>
          <w:lang w:val="en-US" w:eastAsia="zh-CN"/>
        </w:rPr>
        <w:t>成都市温江区人民政府关于印发</w:t>
      </w:r>
      <w:r>
        <w:rPr>
          <w:lang w:val="en-US" w:eastAsia="zh-CN"/>
        </w:rPr>
        <w:t>成都市温江区</w:t>
      </w:r>
      <w:r>
        <w:rPr>
          <w:rFonts w:hint="eastAsia"/>
          <w:lang w:val="en-US" w:eastAsia="zh-CN"/>
        </w:rPr>
        <w:t>促进知识产权创新发展政策措施（修订）的通知》</w:t>
      </w:r>
      <w:r>
        <w:rPr>
          <w:lang w:val="en-US" w:eastAsia="zh-CN"/>
        </w:rPr>
        <w:t>（温</w:t>
      </w:r>
      <w:r>
        <w:rPr>
          <w:rFonts w:hint="eastAsia"/>
          <w:lang w:val="en-US" w:eastAsia="zh-CN"/>
        </w:rPr>
        <w:t>府规</w:t>
      </w:r>
      <w:r>
        <w:rPr>
          <w:lang w:val="en-US" w:eastAsia="zh-CN"/>
        </w:rPr>
        <w:t>〔202</w:t>
      </w:r>
      <w:r>
        <w:rPr>
          <w:rFonts w:hint="eastAsia"/>
          <w:lang w:val="en-US" w:eastAsia="zh-CN"/>
        </w:rPr>
        <w:t>5</w:t>
      </w:r>
      <w:r>
        <w:rPr>
          <w:lang w:val="en-US" w:eastAsia="zh-CN"/>
        </w:rPr>
        <w:t>〕</w:t>
      </w:r>
      <w:r>
        <w:rPr>
          <w:rFonts w:hint="eastAsia"/>
          <w:lang w:val="en-US" w:eastAsia="zh-CN"/>
        </w:rPr>
        <w:t>1号</w:t>
      </w:r>
      <w:r>
        <w:rPr>
          <w:lang w:val="en-US" w:eastAsia="zh-CN"/>
        </w:rPr>
        <w:t>）</w:t>
      </w:r>
      <w:bookmarkEnd w:id="10"/>
      <w:r>
        <w:rPr>
          <w:rFonts w:hint="eastAsia"/>
          <w:lang w:val="en-US" w:eastAsia="zh-CN"/>
        </w:rPr>
        <w:t>有效期届满之日止</w:t>
      </w:r>
      <w:r>
        <w:rPr>
          <w:lang w:val="en-US" w:eastAsia="zh-CN"/>
        </w:rPr>
        <w:t>。</w:t>
      </w:r>
      <w:r>
        <w:rPr>
          <w:rFonts w:hint="eastAsia"/>
          <w:lang w:val="en-US" w:eastAsia="zh-CN"/>
        </w:rPr>
        <w:t>本实施细则有效期内，如遇与国家法律、法规、规章或上级文件的强制性规定不一致的，以相应上级规定为准</w:t>
      </w:r>
      <w:r>
        <w:rPr>
          <w:lang w:val="en-US" w:eastAsia="zh-CN"/>
        </w:rPr>
        <w:t>。《</w:t>
      </w:r>
      <w:r>
        <w:rPr>
          <w:rFonts w:hint="eastAsia"/>
          <w:lang w:val="en-US" w:eastAsia="zh-CN"/>
        </w:rPr>
        <w:t>成都市温江区市场监督管理局关于印发</w:t>
      </w:r>
      <w:r>
        <w:rPr>
          <w:lang w:val="en-US" w:eastAsia="zh-CN"/>
        </w:rPr>
        <w:t>成都市温江区</w:t>
      </w:r>
      <w:r>
        <w:rPr>
          <w:rFonts w:hint="eastAsia"/>
          <w:lang w:val="en-US" w:eastAsia="zh-CN"/>
        </w:rPr>
        <w:t>促进知识产权创新发展政策措施</w:t>
      </w:r>
      <w:r>
        <w:rPr>
          <w:lang w:val="en-US" w:eastAsia="zh-CN"/>
        </w:rPr>
        <w:t>实施细则</w:t>
      </w:r>
      <w:r>
        <w:rPr>
          <w:rFonts w:hint="eastAsia"/>
          <w:lang w:val="en-US" w:eastAsia="zh-CN"/>
        </w:rPr>
        <w:t>的通知</w:t>
      </w:r>
      <w:r>
        <w:rPr>
          <w:lang w:val="en-US" w:eastAsia="zh-CN"/>
        </w:rPr>
        <w:t>》（温</w:t>
      </w:r>
      <w:r>
        <w:rPr>
          <w:rFonts w:hint="eastAsia"/>
          <w:lang w:val="en-US" w:eastAsia="zh-CN"/>
        </w:rPr>
        <w:t>市场监管规</w:t>
      </w:r>
      <w:r>
        <w:rPr>
          <w:lang w:val="en-US" w:eastAsia="zh-CN"/>
        </w:rPr>
        <w:t>〔2024〕</w:t>
      </w:r>
      <w:r>
        <w:rPr>
          <w:rFonts w:hint="eastAsia"/>
          <w:lang w:val="en-US" w:eastAsia="zh-CN"/>
        </w:rPr>
        <w:t>1</w:t>
      </w:r>
      <w:r>
        <w:rPr>
          <w:lang w:val="en-US" w:eastAsia="zh-CN"/>
        </w:rPr>
        <w:t>号）</w:t>
      </w:r>
      <w:r>
        <w:rPr>
          <w:rFonts w:hint="eastAsia"/>
          <w:lang w:val="en-US" w:eastAsia="zh-CN"/>
        </w:rPr>
        <w:t>同步废止</w:t>
      </w:r>
      <w:r>
        <w:rPr>
          <w:lang w:val="en-US" w:eastAsia="zh-CN"/>
        </w:rPr>
        <w:t>。</w:t>
      </w:r>
    </w:p>
    <w:p>
      <w:pPr>
        <w:pStyle w:val="34"/>
        <w:bidi w:val="0"/>
      </w:pPr>
    </w:p>
    <w:sectPr>
      <w:headerReference r:id="rId3" w:type="default"/>
      <w:footerReference r:id="rId4" w:type="default"/>
      <w:footerReference r:id="rId5" w:type="even"/>
      <w:pgSz w:w="11906" w:h="16838"/>
      <w:pgMar w:top="2098" w:right="1474" w:bottom="1984" w:left="1587" w:header="851" w:footer="1587" w:gutter="0"/>
      <w:pgNumType w:chapStyle="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小标宋">
    <w:altName w:val="方正小标宋简体"/>
    <w:panose1 w:val="00000000000000000000"/>
    <w:charset w:val="86"/>
    <w:family w:val="script"/>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新魏">
    <w:panose1 w:val="02010800040101010101"/>
    <w:charset w:val="86"/>
    <w:family w:val="auto"/>
    <w:pitch w:val="default"/>
    <w:sig w:usb0="00000001" w:usb1="080F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-115570</wp:posOffset>
              </wp:positionV>
              <wp:extent cx="445135" cy="352425"/>
              <wp:effectExtent l="0" t="0" r="5715" b="9525"/>
              <wp:wrapNone/>
              <wp:docPr id="8" name="文本框 8"/>
              <wp:cNvGraphicFramePr/>
              <a:graphic xmlns:a="http://schemas.openxmlformats.org/drawingml/2006/main">
                <a:graphicData uri="http://schemas.microsoft.com/office/word/2010/wordprocessingShape">
                  <wps:wsp>
                    <wps:cNvSpPr txBox="1"/>
                    <wps:spPr>
                      <a:xfrm>
                        <a:off x="0" y="0"/>
                        <a:ext cx="445135" cy="352425"/>
                      </a:xfrm>
                      <a:prstGeom prst="rect">
                        <a:avLst/>
                      </a:prstGeom>
                      <a:noFill/>
                      <a:ln w="6350">
                        <a:noFill/>
                      </a:ln>
                      <a:effectLst/>
                    </wps:spPr>
                    <wps:txbx>
                      <w:txbxContent>
                        <w:p>
                          <w:pPr>
                            <w:pStyle w:val="10"/>
                            <w:rPr>
                              <w:rFonts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2</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9.1pt;height:27.75pt;width:35.05pt;mso-position-horizontal:outside;mso-position-horizontal-relative:margin;mso-wrap-style:none;z-index:251661312;mso-width-relative:page;mso-height-relative:page;" filled="f" stroked="f" coordsize="21600,21600" o:gfxdata="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BYAAABkcnMvUEsBAhQAFAAAAAgAh07iQH1dpgjXAAAABgEAAA8AAAAAAAAA&#10;AQAgAAAAOAAAAGRycy9kb3ducmV2LnhtbFBLAQIUABQAAAAIAIdO4kDk173GNQIAAGEEAAAOAAAA&#10;AAAAAAEAIAAAADwBAABkcnMvZTJvRG9jLnhtbFBLBQYAAAAABgAGAFkBAADjBQAAAAA=&#10;">
              <v:fill on="f" focussize="0,0"/>
              <v:stroke on="f" weight="0.5pt"/>
              <v:imagedata o:title=""/>
              <o:lock v:ext="edit" aspectratio="f"/>
              <v:textbox inset="0mm,0mm,0mm,0mm">
                <w:txbxContent>
                  <w:p>
                    <w:pPr>
                      <w:pStyle w:val="10"/>
                      <w:rPr>
                        <w:rFonts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2</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w:t>
                    </w:r>
                  </w:p>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14935" cy="230505"/>
              <wp:effectExtent l="0" t="0" r="12065" b="10795"/>
              <wp:wrapNone/>
              <wp:docPr id="5" name="文本框 5"/>
              <wp:cNvGraphicFramePr/>
              <a:graphic xmlns:a="http://schemas.openxmlformats.org/drawingml/2006/main">
                <a:graphicData uri="http://schemas.microsoft.com/office/word/2010/wordprocessingShape">
                  <wps:wsp>
                    <wps:cNvSpPr txBox="1"/>
                    <wps:spPr>
                      <a:xfrm>
                        <a:off x="0" y="0"/>
                        <a:ext cx="114935" cy="230505"/>
                      </a:xfrm>
                      <a:prstGeom prst="rect">
                        <a:avLst/>
                      </a:prstGeom>
                      <a:noFill/>
                      <a:ln w="6350">
                        <a:noFill/>
                      </a:ln>
                      <a:effectLst/>
                    </wps:spPr>
                    <wps:txbx>
                      <w:txbxContent>
                        <w:p>
                          <w:pPr>
                            <w:pStyle w:val="10"/>
                            <w:rPr>
                              <w:rFonts w:asciiTheme="majorEastAsia" w:hAnsiTheme="majorEastAsia" w:eastAsiaTheme="majorEastAsia" w:cstheme="majorEastAsia"/>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8.15pt;width:9.05pt;mso-position-horizontal:outside;mso-position-horizontal-relative:margin;mso-wrap-style:none;z-index:251660288;mso-width-relative:page;mso-height-relative:page;" filled="f" stroked="f" coordsize="21600,21600" o:gfxdata="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AMz/CH0QAAAAMBAAAPAAAAAAAAAAEAIAAA&#10;ADgAAABkcnMvZG93bnJldi54bWxQSwECFAAUAAAACACHTuJAGbHaAjYCAABhBAAADgAAAAAAAAAB&#10;ACAAAAA2AQAAZHJzL2Uyb0RvYy54bWxQSwUGAAAAAAYABgBZAQAA3gUAAAAA&#10;">
              <v:fill on="f" focussize="0,0"/>
              <v:stroke on="f" weight="0.5pt"/>
              <v:imagedata o:title=""/>
              <o:lock v:ext="edit" aspectratio="f"/>
              <v:textbox inset="0mm,0mm,0mm,0mm" style="mso-fit-shape-to-text:t;">
                <w:txbxContent>
                  <w:p>
                    <w:pPr>
                      <w:pStyle w:val="10"/>
                      <w:rPr>
                        <w:rFonts w:asciiTheme="majorEastAsia" w:hAnsiTheme="majorEastAsia" w:eastAsiaTheme="majorEastAsia" w:cstheme="majorEastAsia"/>
                        <w:sz w:val="28"/>
                        <w:szCs w:val="28"/>
                      </w:rPr>
                    </w:pP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3505" cy="139700"/>
              <wp:effectExtent l="0" t="0" r="4445" b="6350"/>
              <wp:wrapNone/>
              <wp:docPr id="2" name="文本框 2"/>
              <wp:cNvGraphicFramePr/>
              <a:graphic xmlns:a="http://schemas.openxmlformats.org/drawingml/2006/main">
                <a:graphicData uri="http://schemas.microsoft.com/office/word/2010/wordprocessingShape">
                  <wps:wsp>
                    <wps:cNvSpPr txBox="1"/>
                    <wps:spPr>
                      <a:xfrm>
                        <a:off x="0" y="0"/>
                        <a:ext cx="103505" cy="139700"/>
                      </a:xfrm>
                      <a:prstGeom prst="rect">
                        <a:avLst/>
                      </a:prstGeom>
                      <a:noFill/>
                      <a:ln w="6350">
                        <a:noFill/>
                      </a:ln>
                      <a:effectLst/>
                    </wps:spPr>
                    <wps:txbx>
                      <w:txbxContent>
                        <w:p>
                          <w:pPr>
                            <w:pStyle w:val="1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8.15pt;mso-position-horizontal:outside;mso-position-horizontal-relative:margin;mso-wrap-style:none;z-index:251659264;mso-width-relative:page;mso-height-relative:page;" filled="f" stroked="f" coordsize="21600,21600" o:gfxdata="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BG8Zog0gAAAAMBAAAPAAAAAAAAAAEAIAAA&#10;ADgAAABkcnMvZG93bnJldi54bWxQSwECFAAUAAAACACHTuJAlL9j9TUCAABhBAAADgAAAAAAAAAB&#10;ACAAAAA3AQAAZHJzL2Uyb0RvYy54bWxQSwUGAAAAAAYABgBZAQAA3gUAAAAA&#10;">
              <v:fill on="f" focussize="0,0"/>
              <v:stroke on="f" weight="0.5pt"/>
              <v:imagedata o:title=""/>
              <o:lock v:ext="edit" aspectratio="f"/>
              <v:textbox inset="0mm,0mm,0mm,0mm" style="mso-fit-shape-to-text:t;">
                <w:txbxContent>
                  <w:p>
                    <w:pPr>
                      <w:pStyle w:val="1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05C07D"/>
    <w:multiLevelType w:val="multilevel"/>
    <w:tmpl w:val="8605C07D"/>
    <w:lvl w:ilvl="0" w:tentative="0">
      <w:start w:val="1"/>
      <w:numFmt w:val="chineseCounting"/>
      <w:suff w:val="nothing"/>
      <w:lvlText w:val="%1、"/>
      <w:lvlJc w:val="left"/>
      <w:rPr>
        <w:rFonts w:hint="eastAsia"/>
      </w:rPr>
    </w:lvl>
    <w:lvl w:ilvl="1" w:tentative="0">
      <w:start w:val="1"/>
      <w:numFmt w:val="decimal"/>
      <w:suff w:val="nothing"/>
      <w:lvlText w:val="%2．"/>
      <w:lvlJc w:val="left"/>
      <w:rPr>
        <w:rFonts w:hint="eastAsia"/>
      </w:rPr>
    </w:lvl>
    <w:lvl w:ilvl="2" w:tentative="0">
      <w:start w:val="1"/>
      <w:numFmt w:val="decimal"/>
      <w:suff w:val="nothing"/>
      <w:lvlText w:val="（%3）"/>
      <w:lvlJc w:val="left"/>
      <w:rPr>
        <w:rFonts w:hint="eastAsia"/>
      </w:rPr>
    </w:lvl>
    <w:lvl w:ilvl="3" w:tentative="0">
      <w:start w:val="1"/>
      <w:numFmt w:val="decimalEnclosedCircleChinese"/>
      <w:suff w:val="nothing"/>
      <w:lvlText w:val="%4"/>
      <w:lvlJc w:val="left"/>
      <w:rPr>
        <w:rFonts w:hint="eastAsia"/>
      </w:rPr>
    </w:lvl>
    <w:lvl w:ilvl="4" w:tentative="0">
      <w:start w:val="1"/>
      <w:numFmt w:val="bullet"/>
      <w:pStyle w:val="32"/>
      <w:lvlText w:val=""/>
      <w:lvlJc w:val="left"/>
      <w:rPr>
        <w:rFonts w:hint="default" w:ascii="Wingdings" w:hAnsi="Wingdings"/>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499"/>
    <w:rsid w:val="000714D9"/>
    <w:rsid w:val="001707BB"/>
    <w:rsid w:val="00172A27"/>
    <w:rsid w:val="00261374"/>
    <w:rsid w:val="002775C3"/>
    <w:rsid w:val="00370D44"/>
    <w:rsid w:val="003E6CDB"/>
    <w:rsid w:val="00406354"/>
    <w:rsid w:val="00435015"/>
    <w:rsid w:val="004E5345"/>
    <w:rsid w:val="00570736"/>
    <w:rsid w:val="005C6C86"/>
    <w:rsid w:val="00674883"/>
    <w:rsid w:val="00714F81"/>
    <w:rsid w:val="00770AF9"/>
    <w:rsid w:val="00776CE0"/>
    <w:rsid w:val="00795D8D"/>
    <w:rsid w:val="007C4F72"/>
    <w:rsid w:val="00845FBD"/>
    <w:rsid w:val="00876F79"/>
    <w:rsid w:val="008B7A74"/>
    <w:rsid w:val="008E437E"/>
    <w:rsid w:val="00935813"/>
    <w:rsid w:val="009B5697"/>
    <w:rsid w:val="00A667D9"/>
    <w:rsid w:val="00B506C6"/>
    <w:rsid w:val="00B57C1B"/>
    <w:rsid w:val="00BF6EBA"/>
    <w:rsid w:val="00C03C61"/>
    <w:rsid w:val="00C57435"/>
    <w:rsid w:val="00CB6BFA"/>
    <w:rsid w:val="00CD4712"/>
    <w:rsid w:val="00E669D7"/>
    <w:rsid w:val="00ED6045"/>
    <w:rsid w:val="00F86931"/>
    <w:rsid w:val="01597DC7"/>
    <w:rsid w:val="017554A4"/>
    <w:rsid w:val="01902FFE"/>
    <w:rsid w:val="01C93709"/>
    <w:rsid w:val="01CC004F"/>
    <w:rsid w:val="023953E8"/>
    <w:rsid w:val="024174B1"/>
    <w:rsid w:val="02E33A42"/>
    <w:rsid w:val="02FC63C0"/>
    <w:rsid w:val="030B1FA7"/>
    <w:rsid w:val="035D3B67"/>
    <w:rsid w:val="03876F8C"/>
    <w:rsid w:val="03E72EC4"/>
    <w:rsid w:val="04030041"/>
    <w:rsid w:val="04356710"/>
    <w:rsid w:val="046E78AC"/>
    <w:rsid w:val="0490238C"/>
    <w:rsid w:val="049556D8"/>
    <w:rsid w:val="0496269B"/>
    <w:rsid w:val="05261706"/>
    <w:rsid w:val="05313E6D"/>
    <w:rsid w:val="054B29EB"/>
    <w:rsid w:val="054F2E2E"/>
    <w:rsid w:val="05C62D6F"/>
    <w:rsid w:val="062208DC"/>
    <w:rsid w:val="063E141F"/>
    <w:rsid w:val="06540EAD"/>
    <w:rsid w:val="0668053B"/>
    <w:rsid w:val="06E539A6"/>
    <w:rsid w:val="06FF0A88"/>
    <w:rsid w:val="07020362"/>
    <w:rsid w:val="07144B14"/>
    <w:rsid w:val="073B5CFF"/>
    <w:rsid w:val="07473530"/>
    <w:rsid w:val="0750234A"/>
    <w:rsid w:val="078E7D4F"/>
    <w:rsid w:val="07BE451A"/>
    <w:rsid w:val="07D42292"/>
    <w:rsid w:val="07D70340"/>
    <w:rsid w:val="07E23E8B"/>
    <w:rsid w:val="082C656D"/>
    <w:rsid w:val="08910988"/>
    <w:rsid w:val="08B45DFE"/>
    <w:rsid w:val="08C67BE6"/>
    <w:rsid w:val="09163FBA"/>
    <w:rsid w:val="09177E4F"/>
    <w:rsid w:val="091C6BFE"/>
    <w:rsid w:val="098B1598"/>
    <w:rsid w:val="09B72113"/>
    <w:rsid w:val="09FC4B70"/>
    <w:rsid w:val="0A1215F0"/>
    <w:rsid w:val="0A6A5B66"/>
    <w:rsid w:val="0A9063F9"/>
    <w:rsid w:val="0AF15A56"/>
    <w:rsid w:val="0AF56721"/>
    <w:rsid w:val="0B1D69D0"/>
    <w:rsid w:val="0B8A0CF9"/>
    <w:rsid w:val="0BD00CB2"/>
    <w:rsid w:val="0BEB62B0"/>
    <w:rsid w:val="0C654D77"/>
    <w:rsid w:val="0C851EED"/>
    <w:rsid w:val="0CC630B1"/>
    <w:rsid w:val="0CFF0D4C"/>
    <w:rsid w:val="0D0D7881"/>
    <w:rsid w:val="0D177D63"/>
    <w:rsid w:val="0D3E4216"/>
    <w:rsid w:val="0D8D3502"/>
    <w:rsid w:val="0DA81DAB"/>
    <w:rsid w:val="0DC361BF"/>
    <w:rsid w:val="0DCD08C0"/>
    <w:rsid w:val="0DD379E6"/>
    <w:rsid w:val="0DD45943"/>
    <w:rsid w:val="0DFC5D4C"/>
    <w:rsid w:val="0DFF2530"/>
    <w:rsid w:val="0E0F011D"/>
    <w:rsid w:val="0E2456AF"/>
    <w:rsid w:val="0E614130"/>
    <w:rsid w:val="0E701C9A"/>
    <w:rsid w:val="0E906924"/>
    <w:rsid w:val="0F033AD6"/>
    <w:rsid w:val="0F305B82"/>
    <w:rsid w:val="0F592EAD"/>
    <w:rsid w:val="0F8C5EED"/>
    <w:rsid w:val="0F92012F"/>
    <w:rsid w:val="0FBF0BF8"/>
    <w:rsid w:val="0FCA192C"/>
    <w:rsid w:val="10287358"/>
    <w:rsid w:val="10443D02"/>
    <w:rsid w:val="10501A7D"/>
    <w:rsid w:val="106533F0"/>
    <w:rsid w:val="10795993"/>
    <w:rsid w:val="109B5D51"/>
    <w:rsid w:val="10A85CCC"/>
    <w:rsid w:val="10AB72B7"/>
    <w:rsid w:val="10B10128"/>
    <w:rsid w:val="10CB1FD1"/>
    <w:rsid w:val="10D20C8D"/>
    <w:rsid w:val="10EA46C0"/>
    <w:rsid w:val="10EC7ED6"/>
    <w:rsid w:val="10FC0130"/>
    <w:rsid w:val="11096822"/>
    <w:rsid w:val="112B6574"/>
    <w:rsid w:val="113E35FB"/>
    <w:rsid w:val="119171C6"/>
    <w:rsid w:val="11BE34FF"/>
    <w:rsid w:val="1203559D"/>
    <w:rsid w:val="121B4B05"/>
    <w:rsid w:val="121E5F15"/>
    <w:rsid w:val="1224713F"/>
    <w:rsid w:val="1235432C"/>
    <w:rsid w:val="123A7148"/>
    <w:rsid w:val="123C7EFD"/>
    <w:rsid w:val="1259024D"/>
    <w:rsid w:val="126705C8"/>
    <w:rsid w:val="12687924"/>
    <w:rsid w:val="12A80763"/>
    <w:rsid w:val="13013349"/>
    <w:rsid w:val="13094B7A"/>
    <w:rsid w:val="137B251A"/>
    <w:rsid w:val="139810B9"/>
    <w:rsid w:val="13E33E9F"/>
    <w:rsid w:val="13F661E0"/>
    <w:rsid w:val="141B2144"/>
    <w:rsid w:val="1445043D"/>
    <w:rsid w:val="144F31C5"/>
    <w:rsid w:val="14606CA1"/>
    <w:rsid w:val="149349D3"/>
    <w:rsid w:val="14CA2614"/>
    <w:rsid w:val="14CE1285"/>
    <w:rsid w:val="15291181"/>
    <w:rsid w:val="154604F4"/>
    <w:rsid w:val="15FB0E4B"/>
    <w:rsid w:val="16003FB3"/>
    <w:rsid w:val="161D3BB5"/>
    <w:rsid w:val="161E69C4"/>
    <w:rsid w:val="162656CB"/>
    <w:rsid w:val="165D7F8E"/>
    <w:rsid w:val="166778A2"/>
    <w:rsid w:val="16A95DD3"/>
    <w:rsid w:val="16C012BD"/>
    <w:rsid w:val="173B7538"/>
    <w:rsid w:val="17433942"/>
    <w:rsid w:val="178066CA"/>
    <w:rsid w:val="180C2E66"/>
    <w:rsid w:val="18831970"/>
    <w:rsid w:val="1896602F"/>
    <w:rsid w:val="18CC2079"/>
    <w:rsid w:val="190B38AB"/>
    <w:rsid w:val="198A347B"/>
    <w:rsid w:val="19B67F04"/>
    <w:rsid w:val="19C00EDD"/>
    <w:rsid w:val="19CF52AF"/>
    <w:rsid w:val="1A0C09C2"/>
    <w:rsid w:val="1A2E310D"/>
    <w:rsid w:val="1A4F0C16"/>
    <w:rsid w:val="1A516928"/>
    <w:rsid w:val="1A7F739A"/>
    <w:rsid w:val="1A9060AD"/>
    <w:rsid w:val="1A9C3DD5"/>
    <w:rsid w:val="1AA94BB1"/>
    <w:rsid w:val="1AC371B3"/>
    <w:rsid w:val="1AF855E9"/>
    <w:rsid w:val="1B0274CA"/>
    <w:rsid w:val="1B8234ED"/>
    <w:rsid w:val="1B9019DC"/>
    <w:rsid w:val="1B951C0E"/>
    <w:rsid w:val="1BA07FC5"/>
    <w:rsid w:val="1BB00BE9"/>
    <w:rsid w:val="1BC54EBC"/>
    <w:rsid w:val="1BC64C75"/>
    <w:rsid w:val="1BFA328A"/>
    <w:rsid w:val="1C312C69"/>
    <w:rsid w:val="1C5B2F67"/>
    <w:rsid w:val="1C5D1C2D"/>
    <w:rsid w:val="1C9050CD"/>
    <w:rsid w:val="1CE03193"/>
    <w:rsid w:val="1CEE116D"/>
    <w:rsid w:val="1D0D7F9E"/>
    <w:rsid w:val="1D181775"/>
    <w:rsid w:val="1D20626A"/>
    <w:rsid w:val="1D2D201B"/>
    <w:rsid w:val="1D605177"/>
    <w:rsid w:val="1DF01DA3"/>
    <w:rsid w:val="1E200A8D"/>
    <w:rsid w:val="1E503151"/>
    <w:rsid w:val="1ECF05AB"/>
    <w:rsid w:val="1EDC0206"/>
    <w:rsid w:val="1EDE41D8"/>
    <w:rsid w:val="1EF9479B"/>
    <w:rsid w:val="1EFA7663"/>
    <w:rsid w:val="1F436B39"/>
    <w:rsid w:val="1F55445E"/>
    <w:rsid w:val="1FB257F2"/>
    <w:rsid w:val="1FE6161D"/>
    <w:rsid w:val="1FF2572F"/>
    <w:rsid w:val="1FFE2666"/>
    <w:rsid w:val="204D6AE7"/>
    <w:rsid w:val="20745D33"/>
    <w:rsid w:val="208D4174"/>
    <w:rsid w:val="20AB14DA"/>
    <w:rsid w:val="20AF50D0"/>
    <w:rsid w:val="20D8372C"/>
    <w:rsid w:val="20DE6599"/>
    <w:rsid w:val="20F4417A"/>
    <w:rsid w:val="21075737"/>
    <w:rsid w:val="21092092"/>
    <w:rsid w:val="211F7B89"/>
    <w:rsid w:val="21356382"/>
    <w:rsid w:val="214C22E5"/>
    <w:rsid w:val="21696615"/>
    <w:rsid w:val="21B9762C"/>
    <w:rsid w:val="22046DB5"/>
    <w:rsid w:val="22176AF8"/>
    <w:rsid w:val="22252BC7"/>
    <w:rsid w:val="224249A9"/>
    <w:rsid w:val="225D631D"/>
    <w:rsid w:val="22625D02"/>
    <w:rsid w:val="227D1751"/>
    <w:rsid w:val="22E15618"/>
    <w:rsid w:val="23054B4B"/>
    <w:rsid w:val="231F0C51"/>
    <w:rsid w:val="238B339C"/>
    <w:rsid w:val="23D71B93"/>
    <w:rsid w:val="24001A45"/>
    <w:rsid w:val="240D3020"/>
    <w:rsid w:val="248906BB"/>
    <w:rsid w:val="248967CE"/>
    <w:rsid w:val="24CF22C9"/>
    <w:rsid w:val="24FC34D4"/>
    <w:rsid w:val="2537654B"/>
    <w:rsid w:val="2543659B"/>
    <w:rsid w:val="2558136F"/>
    <w:rsid w:val="256A0D24"/>
    <w:rsid w:val="2570303D"/>
    <w:rsid w:val="2585144B"/>
    <w:rsid w:val="25AC12AF"/>
    <w:rsid w:val="25AE070F"/>
    <w:rsid w:val="25CB4BCF"/>
    <w:rsid w:val="25D05A41"/>
    <w:rsid w:val="25D82225"/>
    <w:rsid w:val="26174F24"/>
    <w:rsid w:val="263956D3"/>
    <w:rsid w:val="263F7F64"/>
    <w:rsid w:val="26A46FCF"/>
    <w:rsid w:val="26EB3965"/>
    <w:rsid w:val="27813DE6"/>
    <w:rsid w:val="27B63EB8"/>
    <w:rsid w:val="27B66F56"/>
    <w:rsid w:val="27C0628A"/>
    <w:rsid w:val="27D1598C"/>
    <w:rsid w:val="281937F1"/>
    <w:rsid w:val="2833161D"/>
    <w:rsid w:val="28460FE6"/>
    <w:rsid w:val="286A2833"/>
    <w:rsid w:val="28D2733C"/>
    <w:rsid w:val="28FD708A"/>
    <w:rsid w:val="293E31FD"/>
    <w:rsid w:val="2943395D"/>
    <w:rsid w:val="29467DD5"/>
    <w:rsid w:val="298B3320"/>
    <w:rsid w:val="29A67723"/>
    <w:rsid w:val="29AD4FFD"/>
    <w:rsid w:val="29F65A0E"/>
    <w:rsid w:val="2A0D61EA"/>
    <w:rsid w:val="2A0F0C2F"/>
    <w:rsid w:val="2A15633A"/>
    <w:rsid w:val="2A330D74"/>
    <w:rsid w:val="2A5C46FD"/>
    <w:rsid w:val="2A623906"/>
    <w:rsid w:val="2A7A009B"/>
    <w:rsid w:val="2A804D16"/>
    <w:rsid w:val="2B02014B"/>
    <w:rsid w:val="2B0504FA"/>
    <w:rsid w:val="2B141C19"/>
    <w:rsid w:val="2B345C04"/>
    <w:rsid w:val="2B3702AB"/>
    <w:rsid w:val="2B572850"/>
    <w:rsid w:val="2B733B92"/>
    <w:rsid w:val="2B9C769F"/>
    <w:rsid w:val="2BC902C1"/>
    <w:rsid w:val="2C897A6C"/>
    <w:rsid w:val="2D2C6444"/>
    <w:rsid w:val="2D6A1390"/>
    <w:rsid w:val="2D8E4B97"/>
    <w:rsid w:val="2D983B4C"/>
    <w:rsid w:val="2DBB774C"/>
    <w:rsid w:val="2DD007E4"/>
    <w:rsid w:val="2DF31F26"/>
    <w:rsid w:val="2E06004A"/>
    <w:rsid w:val="2E0F779E"/>
    <w:rsid w:val="2E150014"/>
    <w:rsid w:val="2E1B5C20"/>
    <w:rsid w:val="2E307EC0"/>
    <w:rsid w:val="2E4160AB"/>
    <w:rsid w:val="2E5C3A53"/>
    <w:rsid w:val="2E7F585E"/>
    <w:rsid w:val="2ED75391"/>
    <w:rsid w:val="2EEF749C"/>
    <w:rsid w:val="2F262FDE"/>
    <w:rsid w:val="2F5D4218"/>
    <w:rsid w:val="2F7D0C1E"/>
    <w:rsid w:val="2FA61215"/>
    <w:rsid w:val="2FBA0A77"/>
    <w:rsid w:val="300F497A"/>
    <w:rsid w:val="302317C2"/>
    <w:rsid w:val="30AA5BD5"/>
    <w:rsid w:val="30CC3C53"/>
    <w:rsid w:val="30CD72E1"/>
    <w:rsid w:val="30CF1AA9"/>
    <w:rsid w:val="30FC7867"/>
    <w:rsid w:val="310D12C9"/>
    <w:rsid w:val="316F239F"/>
    <w:rsid w:val="31911517"/>
    <w:rsid w:val="31CC3111"/>
    <w:rsid w:val="31D777A0"/>
    <w:rsid w:val="31DC744B"/>
    <w:rsid w:val="32083532"/>
    <w:rsid w:val="32AB3DC9"/>
    <w:rsid w:val="32C66417"/>
    <w:rsid w:val="333D1F27"/>
    <w:rsid w:val="335226C5"/>
    <w:rsid w:val="33A51778"/>
    <w:rsid w:val="33BF4C7B"/>
    <w:rsid w:val="33DB4786"/>
    <w:rsid w:val="33DC1C3E"/>
    <w:rsid w:val="33FF1041"/>
    <w:rsid w:val="34344001"/>
    <w:rsid w:val="343544F4"/>
    <w:rsid w:val="346664AD"/>
    <w:rsid w:val="349A4AAF"/>
    <w:rsid w:val="34A6298A"/>
    <w:rsid w:val="34AF3B44"/>
    <w:rsid w:val="34B315FB"/>
    <w:rsid w:val="34C962CF"/>
    <w:rsid w:val="34E73B08"/>
    <w:rsid w:val="354F5A7D"/>
    <w:rsid w:val="356013E2"/>
    <w:rsid w:val="35AD7883"/>
    <w:rsid w:val="360E1F1F"/>
    <w:rsid w:val="361B6989"/>
    <w:rsid w:val="36564480"/>
    <w:rsid w:val="36AA22D8"/>
    <w:rsid w:val="36D40951"/>
    <w:rsid w:val="36EA7744"/>
    <w:rsid w:val="37AD2536"/>
    <w:rsid w:val="37C55F9E"/>
    <w:rsid w:val="37CC664E"/>
    <w:rsid w:val="38241913"/>
    <w:rsid w:val="382C4A90"/>
    <w:rsid w:val="3851285E"/>
    <w:rsid w:val="38513682"/>
    <w:rsid w:val="38673EB0"/>
    <w:rsid w:val="38A14587"/>
    <w:rsid w:val="38B772E3"/>
    <w:rsid w:val="38FE55D6"/>
    <w:rsid w:val="393422C3"/>
    <w:rsid w:val="39466A08"/>
    <w:rsid w:val="3955679C"/>
    <w:rsid w:val="39892AB0"/>
    <w:rsid w:val="39CA6D4D"/>
    <w:rsid w:val="3A014D06"/>
    <w:rsid w:val="3A085CE6"/>
    <w:rsid w:val="3A093525"/>
    <w:rsid w:val="3A5272C4"/>
    <w:rsid w:val="3A923E82"/>
    <w:rsid w:val="3A9B2BF9"/>
    <w:rsid w:val="3AC83980"/>
    <w:rsid w:val="3B996C3C"/>
    <w:rsid w:val="3BC20037"/>
    <w:rsid w:val="3BE77F4D"/>
    <w:rsid w:val="3C0D76DE"/>
    <w:rsid w:val="3C4106AC"/>
    <w:rsid w:val="3C4E4623"/>
    <w:rsid w:val="3C6103DA"/>
    <w:rsid w:val="3CC830E7"/>
    <w:rsid w:val="3CE521F3"/>
    <w:rsid w:val="3CE86F76"/>
    <w:rsid w:val="3D395A30"/>
    <w:rsid w:val="3D3A0B4E"/>
    <w:rsid w:val="3DB24E1A"/>
    <w:rsid w:val="3DB66AD2"/>
    <w:rsid w:val="3DCC3931"/>
    <w:rsid w:val="3DF93DB6"/>
    <w:rsid w:val="3E215BA4"/>
    <w:rsid w:val="3E9B4EA1"/>
    <w:rsid w:val="3E9F5CB6"/>
    <w:rsid w:val="3ED459EA"/>
    <w:rsid w:val="3EDA76ED"/>
    <w:rsid w:val="3F704A94"/>
    <w:rsid w:val="40157AC5"/>
    <w:rsid w:val="402549FD"/>
    <w:rsid w:val="40330BED"/>
    <w:rsid w:val="405279E4"/>
    <w:rsid w:val="409B78DF"/>
    <w:rsid w:val="409D3AEA"/>
    <w:rsid w:val="40A25163"/>
    <w:rsid w:val="40CD702F"/>
    <w:rsid w:val="40D74402"/>
    <w:rsid w:val="416A3E59"/>
    <w:rsid w:val="418575AB"/>
    <w:rsid w:val="41B31694"/>
    <w:rsid w:val="41B83CC3"/>
    <w:rsid w:val="41D61524"/>
    <w:rsid w:val="41E1308A"/>
    <w:rsid w:val="41E921DA"/>
    <w:rsid w:val="4254550A"/>
    <w:rsid w:val="425919F1"/>
    <w:rsid w:val="426C6B90"/>
    <w:rsid w:val="42863AF9"/>
    <w:rsid w:val="42C544D0"/>
    <w:rsid w:val="42D17A51"/>
    <w:rsid w:val="42E0227E"/>
    <w:rsid w:val="42E71E74"/>
    <w:rsid w:val="43126F7F"/>
    <w:rsid w:val="432E2FDF"/>
    <w:rsid w:val="435334E7"/>
    <w:rsid w:val="436D2727"/>
    <w:rsid w:val="437E1F95"/>
    <w:rsid w:val="43CD5718"/>
    <w:rsid w:val="43F473F7"/>
    <w:rsid w:val="44B113D6"/>
    <w:rsid w:val="44D922BF"/>
    <w:rsid w:val="44E41EA7"/>
    <w:rsid w:val="456E1DFF"/>
    <w:rsid w:val="457A445D"/>
    <w:rsid w:val="459305EC"/>
    <w:rsid w:val="46062657"/>
    <w:rsid w:val="460C2121"/>
    <w:rsid w:val="46282EAB"/>
    <w:rsid w:val="463364C8"/>
    <w:rsid w:val="46477874"/>
    <w:rsid w:val="468F4C12"/>
    <w:rsid w:val="46B133B6"/>
    <w:rsid w:val="46BD2449"/>
    <w:rsid w:val="46C12555"/>
    <w:rsid w:val="46EF7D60"/>
    <w:rsid w:val="46FF76DA"/>
    <w:rsid w:val="471C4F75"/>
    <w:rsid w:val="47772FBE"/>
    <w:rsid w:val="47A610E1"/>
    <w:rsid w:val="48B11295"/>
    <w:rsid w:val="48D364DE"/>
    <w:rsid w:val="49273187"/>
    <w:rsid w:val="495146D3"/>
    <w:rsid w:val="495171D5"/>
    <w:rsid w:val="499E126F"/>
    <w:rsid w:val="49C21841"/>
    <w:rsid w:val="49C225DD"/>
    <w:rsid w:val="4A2B1519"/>
    <w:rsid w:val="4A38715C"/>
    <w:rsid w:val="4A83548D"/>
    <w:rsid w:val="4AC964FF"/>
    <w:rsid w:val="4B05108D"/>
    <w:rsid w:val="4B1D51A6"/>
    <w:rsid w:val="4B4A7633"/>
    <w:rsid w:val="4B5645AA"/>
    <w:rsid w:val="4B581EB9"/>
    <w:rsid w:val="4BA01575"/>
    <w:rsid w:val="4BBB6B3D"/>
    <w:rsid w:val="4BF405C3"/>
    <w:rsid w:val="4C39107C"/>
    <w:rsid w:val="4C5F5146"/>
    <w:rsid w:val="4C76702E"/>
    <w:rsid w:val="4C8856EC"/>
    <w:rsid w:val="4C942790"/>
    <w:rsid w:val="4D0D0B7B"/>
    <w:rsid w:val="4D6B44BE"/>
    <w:rsid w:val="4D803CA0"/>
    <w:rsid w:val="4DCD5A4B"/>
    <w:rsid w:val="4E116A4A"/>
    <w:rsid w:val="4E185879"/>
    <w:rsid w:val="4E1B0D30"/>
    <w:rsid w:val="4E286CEB"/>
    <w:rsid w:val="4E2B657D"/>
    <w:rsid w:val="4E6B4164"/>
    <w:rsid w:val="4EEC56A6"/>
    <w:rsid w:val="4EFF244C"/>
    <w:rsid w:val="4F9A44DD"/>
    <w:rsid w:val="4FB612BC"/>
    <w:rsid w:val="50145FD2"/>
    <w:rsid w:val="502175AE"/>
    <w:rsid w:val="50282179"/>
    <w:rsid w:val="50302464"/>
    <w:rsid w:val="50316073"/>
    <w:rsid w:val="50483352"/>
    <w:rsid w:val="50547869"/>
    <w:rsid w:val="5088007B"/>
    <w:rsid w:val="50E81506"/>
    <w:rsid w:val="512B6705"/>
    <w:rsid w:val="5178130B"/>
    <w:rsid w:val="5193647B"/>
    <w:rsid w:val="519905E7"/>
    <w:rsid w:val="51A33E75"/>
    <w:rsid w:val="51D23F8B"/>
    <w:rsid w:val="51D7241D"/>
    <w:rsid w:val="51F34288"/>
    <w:rsid w:val="522B7002"/>
    <w:rsid w:val="5282340B"/>
    <w:rsid w:val="52985FDA"/>
    <w:rsid w:val="52E64EB0"/>
    <w:rsid w:val="52F104F4"/>
    <w:rsid w:val="53213796"/>
    <w:rsid w:val="53312293"/>
    <w:rsid w:val="53412D66"/>
    <w:rsid w:val="53451024"/>
    <w:rsid w:val="535D1844"/>
    <w:rsid w:val="53B67F79"/>
    <w:rsid w:val="53E648E2"/>
    <w:rsid w:val="53E833D1"/>
    <w:rsid w:val="53F84592"/>
    <w:rsid w:val="53FA3C74"/>
    <w:rsid w:val="54013157"/>
    <w:rsid w:val="54116FCB"/>
    <w:rsid w:val="543466B4"/>
    <w:rsid w:val="54967F53"/>
    <w:rsid w:val="54B34944"/>
    <w:rsid w:val="54DC533E"/>
    <w:rsid w:val="551750DA"/>
    <w:rsid w:val="55375FF9"/>
    <w:rsid w:val="55902480"/>
    <w:rsid w:val="559C7C08"/>
    <w:rsid w:val="55B765C2"/>
    <w:rsid w:val="55BF4AA2"/>
    <w:rsid w:val="55D52ED6"/>
    <w:rsid w:val="55D94703"/>
    <w:rsid w:val="55E20C8E"/>
    <w:rsid w:val="56014501"/>
    <w:rsid w:val="560521E5"/>
    <w:rsid w:val="562F4416"/>
    <w:rsid w:val="5646321E"/>
    <w:rsid w:val="564C2CAC"/>
    <w:rsid w:val="565C24B5"/>
    <w:rsid w:val="565E30FD"/>
    <w:rsid w:val="56607FE9"/>
    <w:rsid w:val="5665110C"/>
    <w:rsid w:val="567311D9"/>
    <w:rsid w:val="56893772"/>
    <w:rsid w:val="568A068B"/>
    <w:rsid w:val="570F3C85"/>
    <w:rsid w:val="572B05A4"/>
    <w:rsid w:val="57AD6FA5"/>
    <w:rsid w:val="57DE37AF"/>
    <w:rsid w:val="57E817D8"/>
    <w:rsid w:val="580220CA"/>
    <w:rsid w:val="58560B22"/>
    <w:rsid w:val="588310B2"/>
    <w:rsid w:val="58A106AA"/>
    <w:rsid w:val="58CE0732"/>
    <w:rsid w:val="58CF0A4F"/>
    <w:rsid w:val="59035A95"/>
    <w:rsid w:val="590B4CEC"/>
    <w:rsid w:val="591E6ED3"/>
    <w:rsid w:val="59B873C4"/>
    <w:rsid w:val="59D479B5"/>
    <w:rsid w:val="59D72A79"/>
    <w:rsid w:val="59DF646E"/>
    <w:rsid w:val="59E85162"/>
    <w:rsid w:val="59EC3473"/>
    <w:rsid w:val="5A1951BB"/>
    <w:rsid w:val="5A3505A1"/>
    <w:rsid w:val="5A366785"/>
    <w:rsid w:val="5A5C7DE6"/>
    <w:rsid w:val="5A663C62"/>
    <w:rsid w:val="5AAF0A37"/>
    <w:rsid w:val="5AD62C8F"/>
    <w:rsid w:val="5B643ECC"/>
    <w:rsid w:val="5B6C63AD"/>
    <w:rsid w:val="5B8B53EA"/>
    <w:rsid w:val="5B9C2C32"/>
    <w:rsid w:val="5C1E3CC5"/>
    <w:rsid w:val="5C85154D"/>
    <w:rsid w:val="5CAB73BF"/>
    <w:rsid w:val="5CC261C1"/>
    <w:rsid w:val="5CC54103"/>
    <w:rsid w:val="5CCA7A7A"/>
    <w:rsid w:val="5CE45568"/>
    <w:rsid w:val="5D3917D6"/>
    <w:rsid w:val="5D473AED"/>
    <w:rsid w:val="5D921489"/>
    <w:rsid w:val="5D9A1B2A"/>
    <w:rsid w:val="5DDA2463"/>
    <w:rsid w:val="5DF84B22"/>
    <w:rsid w:val="5E163609"/>
    <w:rsid w:val="5E3E3E08"/>
    <w:rsid w:val="5E7E103E"/>
    <w:rsid w:val="5EB80711"/>
    <w:rsid w:val="5EBD28EC"/>
    <w:rsid w:val="5F204E5E"/>
    <w:rsid w:val="5F2C0F81"/>
    <w:rsid w:val="5F5424BC"/>
    <w:rsid w:val="5F651123"/>
    <w:rsid w:val="5F6E7975"/>
    <w:rsid w:val="5F6F3C4B"/>
    <w:rsid w:val="5FB21EAF"/>
    <w:rsid w:val="5FBE141B"/>
    <w:rsid w:val="600449A4"/>
    <w:rsid w:val="601F18DC"/>
    <w:rsid w:val="602230AB"/>
    <w:rsid w:val="602C2DED"/>
    <w:rsid w:val="602C6B95"/>
    <w:rsid w:val="603C6DB8"/>
    <w:rsid w:val="6066335A"/>
    <w:rsid w:val="608D7C3E"/>
    <w:rsid w:val="60CF280F"/>
    <w:rsid w:val="60EE035E"/>
    <w:rsid w:val="61651456"/>
    <w:rsid w:val="61792B1B"/>
    <w:rsid w:val="619E60E5"/>
    <w:rsid w:val="61A82A53"/>
    <w:rsid w:val="61FF41E7"/>
    <w:rsid w:val="62173319"/>
    <w:rsid w:val="624B1F71"/>
    <w:rsid w:val="625A03EC"/>
    <w:rsid w:val="625D201F"/>
    <w:rsid w:val="626A3C35"/>
    <w:rsid w:val="626D5AF3"/>
    <w:rsid w:val="629D7B06"/>
    <w:rsid w:val="62C261EC"/>
    <w:rsid w:val="62F903B6"/>
    <w:rsid w:val="63197377"/>
    <w:rsid w:val="632858BC"/>
    <w:rsid w:val="63824558"/>
    <w:rsid w:val="63C01CCA"/>
    <w:rsid w:val="64394C7A"/>
    <w:rsid w:val="64DE768A"/>
    <w:rsid w:val="64FA4FB0"/>
    <w:rsid w:val="651636BC"/>
    <w:rsid w:val="654C18BA"/>
    <w:rsid w:val="65C8217B"/>
    <w:rsid w:val="65CB5BC4"/>
    <w:rsid w:val="65D43439"/>
    <w:rsid w:val="65E3334A"/>
    <w:rsid w:val="660637C8"/>
    <w:rsid w:val="660B662B"/>
    <w:rsid w:val="66232D75"/>
    <w:rsid w:val="663A0ECB"/>
    <w:rsid w:val="66573F48"/>
    <w:rsid w:val="667F63BC"/>
    <w:rsid w:val="66A30E18"/>
    <w:rsid w:val="66B54585"/>
    <w:rsid w:val="66C623BC"/>
    <w:rsid w:val="674246EC"/>
    <w:rsid w:val="676B7875"/>
    <w:rsid w:val="67C37B01"/>
    <w:rsid w:val="67D70A18"/>
    <w:rsid w:val="67DB5ABB"/>
    <w:rsid w:val="680D3651"/>
    <w:rsid w:val="685170BB"/>
    <w:rsid w:val="686F0B02"/>
    <w:rsid w:val="6874767C"/>
    <w:rsid w:val="69567ADA"/>
    <w:rsid w:val="6962728B"/>
    <w:rsid w:val="6995208A"/>
    <w:rsid w:val="69980145"/>
    <w:rsid w:val="69A536B7"/>
    <w:rsid w:val="69B32434"/>
    <w:rsid w:val="69D50DDC"/>
    <w:rsid w:val="69E502AF"/>
    <w:rsid w:val="69F17F3C"/>
    <w:rsid w:val="6A05355B"/>
    <w:rsid w:val="6A50459C"/>
    <w:rsid w:val="6A623B44"/>
    <w:rsid w:val="6A6D3D3C"/>
    <w:rsid w:val="6A722A96"/>
    <w:rsid w:val="6AA1613E"/>
    <w:rsid w:val="6AC211CF"/>
    <w:rsid w:val="6AC47265"/>
    <w:rsid w:val="6AFB6527"/>
    <w:rsid w:val="6B436063"/>
    <w:rsid w:val="6B496DCC"/>
    <w:rsid w:val="6BA943FC"/>
    <w:rsid w:val="6C246E65"/>
    <w:rsid w:val="6C3D4BF1"/>
    <w:rsid w:val="6C4A2E0D"/>
    <w:rsid w:val="6C5F523F"/>
    <w:rsid w:val="6C6C543F"/>
    <w:rsid w:val="6CB357D9"/>
    <w:rsid w:val="6CBF0BBD"/>
    <w:rsid w:val="6D612C50"/>
    <w:rsid w:val="6D71134D"/>
    <w:rsid w:val="6D7819CD"/>
    <w:rsid w:val="6DB30C42"/>
    <w:rsid w:val="6DBA41F7"/>
    <w:rsid w:val="6DC369E7"/>
    <w:rsid w:val="6DD0080E"/>
    <w:rsid w:val="6E116A54"/>
    <w:rsid w:val="6E2151E7"/>
    <w:rsid w:val="6E54104C"/>
    <w:rsid w:val="6E7051C3"/>
    <w:rsid w:val="6E7722A4"/>
    <w:rsid w:val="6E9326FD"/>
    <w:rsid w:val="6EB313D4"/>
    <w:rsid w:val="6EFE61A4"/>
    <w:rsid w:val="6F26FAB9"/>
    <w:rsid w:val="6F6D6979"/>
    <w:rsid w:val="6F7E4B48"/>
    <w:rsid w:val="6FA420B2"/>
    <w:rsid w:val="6FDD76C1"/>
    <w:rsid w:val="6FE37D0C"/>
    <w:rsid w:val="70142619"/>
    <w:rsid w:val="701738DF"/>
    <w:rsid w:val="702D7E83"/>
    <w:rsid w:val="702E1B19"/>
    <w:rsid w:val="703B03CB"/>
    <w:rsid w:val="704378D3"/>
    <w:rsid w:val="70627888"/>
    <w:rsid w:val="70726E39"/>
    <w:rsid w:val="70732EA7"/>
    <w:rsid w:val="708A5C80"/>
    <w:rsid w:val="70C06BB1"/>
    <w:rsid w:val="70EB7F23"/>
    <w:rsid w:val="7105466D"/>
    <w:rsid w:val="710F2541"/>
    <w:rsid w:val="711E0AD9"/>
    <w:rsid w:val="718410B7"/>
    <w:rsid w:val="71894167"/>
    <w:rsid w:val="71C4537D"/>
    <w:rsid w:val="71C57C8A"/>
    <w:rsid w:val="722A2862"/>
    <w:rsid w:val="723633D7"/>
    <w:rsid w:val="7264336E"/>
    <w:rsid w:val="72E306DB"/>
    <w:rsid w:val="72FA7FA7"/>
    <w:rsid w:val="72FF7949"/>
    <w:rsid w:val="730B6BF3"/>
    <w:rsid w:val="7371230D"/>
    <w:rsid w:val="737E066B"/>
    <w:rsid w:val="739123B6"/>
    <w:rsid w:val="73E8098C"/>
    <w:rsid w:val="740C31C9"/>
    <w:rsid w:val="74215B65"/>
    <w:rsid w:val="7439121F"/>
    <w:rsid w:val="74454A4D"/>
    <w:rsid w:val="74F40C82"/>
    <w:rsid w:val="752031D4"/>
    <w:rsid w:val="75343BDC"/>
    <w:rsid w:val="75403067"/>
    <w:rsid w:val="75731E8C"/>
    <w:rsid w:val="75870E9E"/>
    <w:rsid w:val="758B1A97"/>
    <w:rsid w:val="75A41C64"/>
    <w:rsid w:val="75AD3748"/>
    <w:rsid w:val="75BF12BF"/>
    <w:rsid w:val="75C732C5"/>
    <w:rsid w:val="76006534"/>
    <w:rsid w:val="766F59F6"/>
    <w:rsid w:val="76887C2F"/>
    <w:rsid w:val="76BB45D0"/>
    <w:rsid w:val="76CC40A2"/>
    <w:rsid w:val="76D93113"/>
    <w:rsid w:val="77062AE8"/>
    <w:rsid w:val="774E2CF6"/>
    <w:rsid w:val="77686A79"/>
    <w:rsid w:val="77926F07"/>
    <w:rsid w:val="779936DD"/>
    <w:rsid w:val="77A07779"/>
    <w:rsid w:val="77BC6D82"/>
    <w:rsid w:val="77CDBE33"/>
    <w:rsid w:val="77D71B68"/>
    <w:rsid w:val="77E81A2C"/>
    <w:rsid w:val="77F927BC"/>
    <w:rsid w:val="78574C4A"/>
    <w:rsid w:val="78664AAC"/>
    <w:rsid w:val="787A5ADB"/>
    <w:rsid w:val="78865746"/>
    <w:rsid w:val="78C87416"/>
    <w:rsid w:val="79125ADF"/>
    <w:rsid w:val="79704608"/>
    <w:rsid w:val="79E25541"/>
    <w:rsid w:val="7A4C7D53"/>
    <w:rsid w:val="7A551F68"/>
    <w:rsid w:val="7A982AED"/>
    <w:rsid w:val="7AF760EB"/>
    <w:rsid w:val="7B5F7377"/>
    <w:rsid w:val="7B64047E"/>
    <w:rsid w:val="7B6E7581"/>
    <w:rsid w:val="7BB93E37"/>
    <w:rsid w:val="7C152337"/>
    <w:rsid w:val="7C3D7918"/>
    <w:rsid w:val="7C553CD9"/>
    <w:rsid w:val="7C8B6BC2"/>
    <w:rsid w:val="7C9C19BA"/>
    <w:rsid w:val="7CD9329C"/>
    <w:rsid w:val="7CEA2F03"/>
    <w:rsid w:val="7CFC5969"/>
    <w:rsid w:val="7D026BA4"/>
    <w:rsid w:val="7D1E0881"/>
    <w:rsid w:val="7D3D047A"/>
    <w:rsid w:val="7D7542B7"/>
    <w:rsid w:val="7D8D10A9"/>
    <w:rsid w:val="7DA03B67"/>
    <w:rsid w:val="7DA21D0F"/>
    <w:rsid w:val="7DAB7332"/>
    <w:rsid w:val="7DDF2F1B"/>
    <w:rsid w:val="7E2364D0"/>
    <w:rsid w:val="7E2E4783"/>
    <w:rsid w:val="7E5C4963"/>
    <w:rsid w:val="7ECB5B85"/>
    <w:rsid w:val="7EDD2A43"/>
    <w:rsid w:val="7EF12289"/>
    <w:rsid w:val="7EF207F0"/>
    <w:rsid w:val="7F083F0A"/>
    <w:rsid w:val="7F094316"/>
    <w:rsid w:val="7F3003F9"/>
    <w:rsid w:val="7F455DE5"/>
    <w:rsid w:val="7F527015"/>
    <w:rsid w:val="7F770E56"/>
    <w:rsid w:val="7F7C4DDA"/>
    <w:rsid w:val="7FBE3E47"/>
    <w:rsid w:val="DDBF432E"/>
    <w:rsid w:val="FF67BE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spacing w:before="100" w:after="100" w:line="574" w:lineRule="exact"/>
      <w:ind w:firstLine="200" w:firstLineChars="200"/>
      <w:jc w:val="left"/>
      <w:outlineLvl w:val="0"/>
    </w:pPr>
    <w:rPr>
      <w:rFonts w:hint="eastAsia" w:ascii="Times New Roman" w:hAnsi="Times New Roman" w:eastAsia="方正黑体简体" w:cs="Times New Roman"/>
      <w:kern w:val="44"/>
      <w:sz w:val="32"/>
      <w:szCs w:val="48"/>
    </w:rPr>
  </w:style>
  <w:style w:type="paragraph" w:styleId="4">
    <w:name w:val="heading 2"/>
    <w:basedOn w:val="1"/>
    <w:next w:val="1"/>
    <w:unhideWhenUsed/>
    <w:qFormat/>
    <w:uiPriority w:val="0"/>
    <w:pPr>
      <w:spacing w:before="100" w:after="100" w:line="574" w:lineRule="exact"/>
      <w:ind w:firstLine="200" w:firstLineChars="200"/>
      <w:outlineLvl w:val="1"/>
    </w:pPr>
    <w:rPr>
      <w:rFonts w:hint="eastAsia" w:ascii="Times New Roman" w:hAnsi="Times New Roman" w:eastAsia="楷体" w:cs="Times New Roman"/>
      <w:kern w:val="0"/>
      <w:sz w:val="32"/>
      <w:szCs w:val="36"/>
    </w:rPr>
  </w:style>
  <w:style w:type="paragraph" w:styleId="5">
    <w:name w:val="heading 3"/>
    <w:basedOn w:val="1"/>
    <w:next w:val="1"/>
    <w:unhideWhenUsed/>
    <w:qFormat/>
    <w:uiPriority w:val="0"/>
    <w:pPr>
      <w:spacing w:before="100" w:after="100" w:line="574" w:lineRule="exact"/>
      <w:ind w:firstLine="200" w:firstLineChars="200"/>
      <w:outlineLvl w:val="2"/>
    </w:pPr>
    <w:rPr>
      <w:rFonts w:hint="eastAsia" w:ascii="Times New Roman" w:hAnsi="Times New Roman" w:eastAsia="方正仿宋简体" w:cs="Times New Roman"/>
      <w:kern w:val="0"/>
      <w:sz w:val="32"/>
      <w:szCs w:val="27"/>
    </w:rPr>
  </w:style>
  <w:style w:type="paragraph" w:styleId="6">
    <w:name w:val="heading 4"/>
    <w:basedOn w:val="1"/>
    <w:next w:val="1"/>
    <w:link w:val="37"/>
    <w:semiHidden/>
    <w:unhideWhenUsed/>
    <w:qFormat/>
    <w:uiPriority w:val="0"/>
    <w:pPr>
      <w:keepNext/>
      <w:keepLines/>
      <w:spacing w:before="100" w:after="100" w:line="574" w:lineRule="exact"/>
      <w:ind w:firstLine="200" w:firstLineChars="200"/>
      <w:outlineLvl w:val="3"/>
    </w:pPr>
    <w:rPr>
      <w:rFonts w:ascii="Times New Roman" w:hAnsi="Times New Roman" w:eastAsia="方正仿宋简体" w:cstheme="majorBidi"/>
      <w:bCs/>
      <w:sz w:val="32"/>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uppressAutoHyphens/>
      <w:ind w:firstLine="420" w:firstLineChars="200"/>
    </w:pPr>
  </w:style>
  <w:style w:type="paragraph" w:styleId="7">
    <w:name w:val="annotation text"/>
    <w:basedOn w:val="1"/>
    <w:unhideWhenUsed/>
    <w:qFormat/>
    <w:uiPriority w:val="0"/>
    <w:pPr>
      <w:jc w:val="left"/>
    </w:pPr>
    <w:rPr>
      <w:rFonts w:ascii="Calibri" w:hAnsi="Calibri" w:eastAsia="宋体"/>
      <w:szCs w:val="22"/>
    </w:rPr>
  </w:style>
  <w:style w:type="paragraph" w:styleId="8">
    <w:name w:val="Body Text"/>
    <w:basedOn w:val="1"/>
    <w:link w:val="24"/>
    <w:unhideWhenUsed/>
    <w:qFormat/>
    <w:uiPriority w:val="99"/>
    <w:pPr>
      <w:spacing w:line="240" w:lineRule="atLeast"/>
    </w:pPr>
    <w:rPr>
      <w:rFonts w:eastAsia="小标宋"/>
      <w:sz w:val="44"/>
    </w:rPr>
  </w:style>
  <w:style w:type="paragraph" w:styleId="9">
    <w:name w:val="Balloon Text"/>
    <w:basedOn w:val="1"/>
    <w:link w:val="28"/>
    <w:qFormat/>
    <w:uiPriority w:val="0"/>
    <w:rPr>
      <w:sz w:val="18"/>
      <w:szCs w:val="18"/>
    </w:rPr>
  </w:style>
  <w:style w:type="paragraph" w:styleId="10">
    <w:name w:val="footer"/>
    <w:basedOn w:val="1"/>
    <w:next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12">
    <w:name w:val="Subtitle"/>
    <w:basedOn w:val="1"/>
    <w:next w:val="1"/>
    <w:link w:val="36"/>
    <w:qFormat/>
    <w:uiPriority w:val="0"/>
    <w:pPr>
      <w:spacing w:line="680" w:lineRule="exact"/>
      <w:jc w:val="center"/>
      <w:outlineLvl w:val="1"/>
    </w:pPr>
    <w:rPr>
      <w:rFonts w:ascii="Times New Roman" w:hAnsi="Times New Roman" w:eastAsia="楷体" w:cstheme="majorBidi"/>
      <w:bCs/>
      <w:kern w:val="28"/>
      <w:sz w:val="32"/>
      <w:szCs w:val="32"/>
    </w:r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4">
    <w:name w:val="Title"/>
    <w:basedOn w:val="1"/>
    <w:next w:val="1"/>
    <w:link w:val="35"/>
    <w:qFormat/>
    <w:uiPriority w:val="0"/>
    <w:pPr>
      <w:spacing w:line="680" w:lineRule="exact"/>
      <w:jc w:val="center"/>
      <w:outlineLvl w:val="0"/>
    </w:pPr>
    <w:rPr>
      <w:rFonts w:ascii="Times New Roman" w:hAnsi="Times New Roman" w:eastAsia="方正小标宋简体" w:cstheme="majorBidi"/>
      <w:bCs/>
      <w:sz w:val="44"/>
      <w:szCs w:val="32"/>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rPr>
  </w:style>
  <w:style w:type="character" w:styleId="19">
    <w:name w:val="page number"/>
    <w:basedOn w:val="17"/>
    <w:qFormat/>
    <w:uiPriority w:val="0"/>
  </w:style>
  <w:style w:type="character" w:styleId="20">
    <w:name w:val="Emphasis"/>
    <w:basedOn w:val="17"/>
    <w:qFormat/>
    <w:uiPriority w:val="0"/>
    <w:rPr>
      <w:i/>
      <w:iCs/>
      <w:szCs w:val="24"/>
    </w:rPr>
  </w:style>
  <w:style w:type="character" w:styleId="21">
    <w:name w:val="Hyperlink"/>
    <w:basedOn w:val="17"/>
    <w:qFormat/>
    <w:uiPriority w:val="0"/>
    <w:rPr>
      <w:rFonts w:cs="Times New Roman"/>
      <w:color w:val="0000FF"/>
      <w:u w:val="single"/>
    </w:rPr>
  </w:style>
  <w:style w:type="paragraph" w:customStyle="1" w:styleId="22">
    <w:name w:val="附件"/>
    <w:basedOn w:val="8"/>
    <w:link w:val="23"/>
    <w:qFormat/>
    <w:uiPriority w:val="0"/>
    <w:pPr>
      <w:spacing w:line="574" w:lineRule="exact"/>
    </w:pPr>
    <w:rPr>
      <w:rFonts w:ascii="Times New Roman" w:hAnsi="Times New Roman" w:eastAsia="黑体" w:cs="黑体"/>
      <w:color w:val="000000"/>
      <w:sz w:val="32"/>
      <w:szCs w:val="32"/>
    </w:rPr>
  </w:style>
  <w:style w:type="character" w:customStyle="1" w:styleId="23">
    <w:name w:val="附件 Char"/>
    <w:basedOn w:val="24"/>
    <w:link w:val="22"/>
    <w:qFormat/>
    <w:uiPriority w:val="0"/>
    <w:rPr>
      <w:rFonts w:ascii="Times New Roman" w:hAnsi="Times New Roman" w:eastAsia="黑体" w:cs="黑体"/>
      <w:color w:val="000000"/>
      <w:kern w:val="2"/>
      <w:sz w:val="32"/>
      <w:szCs w:val="32"/>
    </w:rPr>
  </w:style>
  <w:style w:type="character" w:customStyle="1" w:styleId="24">
    <w:name w:val="正文文本 Char"/>
    <w:basedOn w:val="17"/>
    <w:link w:val="8"/>
    <w:qFormat/>
    <w:uiPriority w:val="99"/>
    <w:rPr>
      <w:rFonts w:eastAsia="小标宋" w:asciiTheme="minorHAnsi" w:hAnsiTheme="minorHAnsi" w:cstheme="minorBidi"/>
      <w:kern w:val="2"/>
      <w:sz w:val="44"/>
      <w:szCs w:val="24"/>
    </w:rPr>
  </w:style>
  <w:style w:type="paragraph" w:customStyle="1" w:styleId="25">
    <w:name w:val="Char"/>
    <w:basedOn w:val="1"/>
    <w:next w:val="1"/>
    <w:qFormat/>
    <w:uiPriority w:val="0"/>
    <w:pPr>
      <w:spacing w:line="240" w:lineRule="atLeast"/>
      <w:ind w:left="420" w:firstLine="420"/>
      <w:jc w:val="left"/>
    </w:pPr>
    <w:rPr>
      <w:rFonts w:ascii="Times New Roman" w:eastAsia="宋体"/>
      <w:kern w:val="0"/>
      <w:szCs w:val="21"/>
    </w:rPr>
  </w:style>
  <w:style w:type="paragraph" w:customStyle="1" w:styleId="26">
    <w:name w:val="Char1"/>
    <w:basedOn w:val="1"/>
    <w:next w:val="1"/>
    <w:qFormat/>
    <w:uiPriority w:val="0"/>
    <w:pPr>
      <w:spacing w:line="240" w:lineRule="atLeast"/>
      <w:ind w:left="420" w:firstLine="420"/>
      <w:jc w:val="left"/>
    </w:pPr>
    <w:rPr>
      <w:rFonts w:ascii="Times New Roman" w:eastAsia="宋体"/>
      <w:kern w:val="0"/>
      <w:szCs w:val="21"/>
    </w:rPr>
  </w:style>
  <w:style w:type="paragraph" w:customStyle="1" w:styleId="27">
    <w:name w:val="Default"/>
    <w:qFormat/>
    <w:uiPriority w:val="0"/>
    <w:pPr>
      <w:widowControl w:val="0"/>
      <w:autoSpaceDE w:val="0"/>
      <w:autoSpaceDN w:val="0"/>
      <w:adjustRightInd w:val="0"/>
    </w:pPr>
    <w:rPr>
      <w:rFonts w:ascii="华文新魏" w:hAnsi="Calibri" w:eastAsia="华文新魏" w:cs="华文新魏"/>
      <w:color w:val="000000"/>
      <w:sz w:val="24"/>
      <w:szCs w:val="24"/>
      <w:lang w:val="en-US" w:eastAsia="zh-CN" w:bidi="ar-SA"/>
    </w:rPr>
  </w:style>
  <w:style w:type="character" w:customStyle="1" w:styleId="28">
    <w:name w:val="批注框文本 Char"/>
    <w:basedOn w:val="17"/>
    <w:link w:val="9"/>
    <w:qFormat/>
    <w:uiPriority w:val="0"/>
    <w:rPr>
      <w:kern w:val="2"/>
      <w:sz w:val="18"/>
      <w:szCs w:val="18"/>
    </w:rPr>
  </w:style>
  <w:style w:type="paragraph" w:styleId="29">
    <w:name w:val="List Paragraph"/>
    <w:basedOn w:val="1"/>
    <w:unhideWhenUsed/>
    <w:qFormat/>
    <w:uiPriority w:val="99"/>
    <w:pPr>
      <w:ind w:firstLine="420" w:firstLineChars="200"/>
    </w:pPr>
  </w:style>
  <w:style w:type="paragraph" w:styleId="30">
    <w:name w:val="No Spacing"/>
    <w:qFormat/>
    <w:uiPriority w:val="1"/>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31">
    <w:name w:val="section"/>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32">
    <w:name w:val="标题 5（有编号）（绿盟科技）"/>
    <w:basedOn w:val="1"/>
    <w:next w:val="33"/>
    <w:qFormat/>
    <w:uiPriority w:val="0"/>
    <w:pPr>
      <w:keepNext/>
      <w:keepLines/>
      <w:numPr>
        <w:ilvl w:val="4"/>
        <w:numId w:val="1"/>
      </w:numPr>
      <w:spacing w:before="280" w:after="156" w:line="377" w:lineRule="auto"/>
      <w:outlineLvl w:val="4"/>
    </w:pPr>
    <w:rPr>
      <w:rFonts w:ascii="Arial" w:hAnsi="Arial" w:eastAsia="黑体"/>
      <w:b/>
      <w:sz w:val="24"/>
      <w:szCs w:val="28"/>
    </w:rPr>
  </w:style>
  <w:style w:type="paragraph" w:customStyle="1" w:styleId="33">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34">
    <w:name w:val="！正文"/>
    <w:basedOn w:val="1"/>
    <w:qFormat/>
    <w:uiPriority w:val="0"/>
    <w:pPr>
      <w:spacing w:line="574" w:lineRule="exact"/>
      <w:ind w:firstLine="200" w:firstLineChars="200"/>
    </w:pPr>
    <w:rPr>
      <w:rFonts w:ascii="Times New Roman" w:hAnsi="Times New Roman" w:eastAsia="方正仿宋简体"/>
      <w:sz w:val="32"/>
    </w:rPr>
  </w:style>
  <w:style w:type="character" w:customStyle="1" w:styleId="35">
    <w:name w:val="标题 Char"/>
    <w:basedOn w:val="17"/>
    <w:link w:val="14"/>
    <w:qFormat/>
    <w:uiPriority w:val="0"/>
    <w:rPr>
      <w:rFonts w:ascii="Times New Roman" w:hAnsi="Times New Roman" w:eastAsia="方正小标宋简体" w:cstheme="majorBidi"/>
      <w:bCs/>
      <w:kern w:val="2"/>
      <w:sz w:val="44"/>
      <w:szCs w:val="32"/>
    </w:rPr>
  </w:style>
  <w:style w:type="character" w:customStyle="1" w:styleId="36">
    <w:name w:val="副标题 Char"/>
    <w:basedOn w:val="17"/>
    <w:link w:val="12"/>
    <w:qFormat/>
    <w:uiPriority w:val="0"/>
    <w:rPr>
      <w:rFonts w:ascii="Times New Roman" w:hAnsi="Times New Roman" w:eastAsia="楷体" w:cstheme="majorBidi"/>
      <w:bCs/>
      <w:kern w:val="28"/>
      <w:sz w:val="32"/>
      <w:szCs w:val="32"/>
    </w:rPr>
  </w:style>
  <w:style w:type="character" w:customStyle="1" w:styleId="37">
    <w:name w:val="标题 4 Char"/>
    <w:basedOn w:val="17"/>
    <w:link w:val="6"/>
    <w:semiHidden/>
    <w:qFormat/>
    <w:uiPriority w:val="0"/>
    <w:rPr>
      <w:rFonts w:ascii="Times New Roman" w:hAnsi="Times New Roman" w:eastAsia="方正仿宋简体" w:cstheme="majorBidi"/>
      <w:bCs/>
      <w:kern w:val="2"/>
      <w:sz w:val="32"/>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38</Words>
  <Characters>220</Characters>
  <Lines>1</Lines>
  <Paragraphs>1</Paragraphs>
  <TotalTime>1</TotalTime>
  <ScaleCrop>false</ScaleCrop>
  <LinksUpToDate>false</LinksUpToDate>
  <CharactersWithSpaces>257</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2024-01-24T07:26:00Z</dcterms:created>
  <dc:creator>USER</dc:creator>
  <cp:lastModifiedBy>雍雪</cp:lastModifiedBy>
  <cp:lastPrinted>2020-12-15T01:40:00Z</cp:lastPrinted>
  <dcterms:modified xsi:type="dcterms:W3CDTF">2025-05-09T14:01:00Z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CE9BFFA817AA08E5141F0B68B67598EC</vt:lpwstr>
  </property>
</Properties>
</file>