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成都市温江区促进知识产权创新发展</w:t>
      </w:r>
    </w:p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政策措施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（修订版）</w:t>
      </w:r>
      <w:bookmarkEnd w:id="0"/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1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为深入贯彻落实《知识产权强国建设纲要（2021—2035年）》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，加快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构建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eastAsia="方正仿宋简体"/>
          <w:color w:val="000000"/>
          <w:sz w:val="32"/>
          <w:szCs w:val="32"/>
          <w:highlight w:val="none"/>
        </w:rPr>
        <w:t>姓温有据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eastAsia="方正仿宋简体"/>
          <w:color w:val="000000"/>
          <w:sz w:val="32"/>
          <w:szCs w:val="32"/>
          <w:highlight w:val="none"/>
        </w:rPr>
        <w:t>的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3+6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现代化产业体系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，充分发挥知识产权作用，助力区域高质量发展，特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制定本政策措施。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74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第一章  </w:t>
      </w:r>
      <w:r>
        <w:rPr>
          <w:rFonts w:hint="eastAsia" w:ascii="黑体" w:hAnsi="黑体" w:eastAsia="黑体" w:cs="黑体"/>
          <w:sz w:val="32"/>
          <w:szCs w:val="32"/>
        </w:rPr>
        <w:t>促进知识产权高质量创造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第一条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支持高价值知识产权创造和实施产业化。对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符合温江区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3+6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现代化产业体系的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高价值专利、集成电路布图、植物新品种、版权等知识产权实施产业化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经评审遴选后，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给予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每个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10万元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激励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支持创新创业活力提升。对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企</w:t>
      </w:r>
      <w:r>
        <w:rPr>
          <w:rFonts w:hint="eastAsia" w:eastAsia="仿宋" w:cs="Times New Roman"/>
          <w:sz w:val="32"/>
          <w:szCs w:val="32"/>
          <w:lang w:val="en-US" w:eastAsia="zh-CN"/>
        </w:rPr>
        <w:t>业新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获得中国专利金奖、银奖、优秀奖的，分别给予50万元、25万元、10万元的</w:t>
      </w:r>
      <w:r>
        <w:rPr>
          <w:rFonts w:hint="eastAsia" w:eastAsia="仿宋" w:cs="Times New Roman"/>
          <w:sz w:val="32"/>
          <w:szCs w:val="32"/>
          <w:lang w:val="en-US" w:eastAsia="zh-CN"/>
        </w:rPr>
        <w:t>激励</w:t>
      </w:r>
      <w:r>
        <w:rPr>
          <w:rFonts w:hint="eastAsia" w:eastAsia="仿宋" w:cs="Times New Roman"/>
          <w:color w:val="auto"/>
          <w:sz w:val="32"/>
          <w:szCs w:val="32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</w:t>
      </w:r>
      <w:r>
        <w:rPr>
          <w:rFonts w:hint="eastAsia" w:eastAsia="仿宋" w:cs="Times New Roman"/>
          <w:sz w:val="32"/>
          <w:szCs w:val="32"/>
          <w:lang w:val="en-US" w:eastAsia="zh-CN"/>
        </w:rPr>
        <w:t>企业新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获得中国外观设计金奖、银奖、优秀奖的，分别给予20万元、10万元、5万元的</w:t>
      </w:r>
      <w:r>
        <w:rPr>
          <w:rFonts w:hint="eastAsia" w:eastAsia="仿宋" w:cs="Times New Roman"/>
          <w:sz w:val="32"/>
          <w:szCs w:val="32"/>
          <w:lang w:val="en-US" w:eastAsia="zh-CN"/>
        </w:rPr>
        <w:t>激励。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</w:t>
      </w:r>
      <w:r>
        <w:rPr>
          <w:rFonts w:hint="eastAsia" w:eastAsia="仿宋" w:cs="Times New Roman"/>
          <w:sz w:val="32"/>
          <w:szCs w:val="32"/>
          <w:lang w:val="en-US" w:eastAsia="zh-CN"/>
        </w:rPr>
        <w:t>企业新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获得中国版权金奖、中国驰名商标的给予100万元</w:t>
      </w:r>
      <w:r>
        <w:rPr>
          <w:rFonts w:hint="eastAsia" w:eastAsia="仿宋" w:cs="Times New Roman"/>
          <w:sz w:val="32"/>
          <w:szCs w:val="32"/>
          <w:lang w:val="en-US" w:eastAsia="zh-CN"/>
        </w:rPr>
        <w:t>激励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74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第二章  促进知识产权高效益运用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支持地理标志高质量发展。支持地理标志高质量发展。对获得地理标志产品国际互认互保的权利人，每个给予5万元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激励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。对地理标志产品产业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化生产经营的企业，按照该产品年度销售收入的1%，给予每家企业不超过10万元</w:t>
      </w:r>
      <w:r>
        <w:rPr>
          <w:rFonts w:hint="eastAsia" w:eastAsia="仿宋" w:cs="Times New Roman"/>
          <w:sz w:val="32"/>
          <w:szCs w:val="32"/>
          <w:lang w:val="en-US" w:eastAsia="zh-CN"/>
        </w:rPr>
        <w:t>一次性激励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支持知识产权质押融资。对企事业单位以专利权、商标权通过银行获得知识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产权质押融资贷款的，在获得市知识产权主管部门相关认定资助后，按照其实际支付的贷款利息、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担保费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、评估费给予10%的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激励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，每个单位上述三项费用每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年激励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总额不超过20万元。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74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第三章  促进知识产权高标准保护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支持知识产权维权。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对</w:t>
      </w:r>
      <w:r>
        <w:rPr>
          <w:rFonts w:hint="eastAsia" w:eastAsia="仿宋" w:cs="Times New Roman"/>
          <w:sz w:val="32"/>
          <w:szCs w:val="32"/>
          <w:highlight w:val="none"/>
          <w:lang w:val="zh-CN" w:eastAsia="zh-CN"/>
        </w:rPr>
        <w:t>开展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知识产权</w:t>
      </w:r>
      <w:r>
        <w:rPr>
          <w:rFonts w:hint="eastAsia" w:eastAsia="仿宋" w:cs="Times New Roman"/>
          <w:sz w:val="32"/>
          <w:szCs w:val="32"/>
          <w:highlight w:val="none"/>
          <w:lang w:val="zh-CN" w:eastAsia="zh-CN"/>
        </w:rPr>
        <w:t>维权的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企事业单位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经法院判决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zh-CN"/>
        </w:rPr>
        <w:t>或裁定后、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或者经行政机关处理后支持其请求并已生效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的，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zh-CN"/>
        </w:rPr>
        <w:t>或者在和解撤诉中获益的，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zh-CN"/>
        </w:rPr>
        <w:t>每件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侵权纠纷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zh-CN"/>
        </w:rPr>
        <w:t>企事业单位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实际支出的维权成本给予50%的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激励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，每件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zh-CN"/>
        </w:rPr>
        <w:t>不超过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zh-CN"/>
        </w:rPr>
        <w:t>万元，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每个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zh-CN"/>
        </w:rPr>
        <w:t>单位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每年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eastAsia="zh-CN"/>
        </w:rPr>
        <w:t>激励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zh-CN"/>
        </w:rPr>
        <w:t>总额不超过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1"/>
        <w:textAlignment w:val="auto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支持购买知识产权保险。对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企业购买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专利、商标执行保险、被侵权损失保险等险种</w:t>
      </w:r>
      <w:r>
        <w:rPr>
          <w:rFonts w:hint="eastAsia" w:eastAsia="仿宋" w:cs="Times New Roman"/>
          <w:sz w:val="32"/>
          <w:szCs w:val="32"/>
          <w:lang w:val="zh-CN"/>
        </w:rPr>
        <w:t>的，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按照实际缴纳保费的10%给予投保人</w:t>
      </w:r>
      <w:r>
        <w:rPr>
          <w:rFonts w:hint="eastAsia" w:eastAsia="仿宋" w:cs="Times New Roman"/>
          <w:sz w:val="32"/>
          <w:szCs w:val="32"/>
          <w:lang w:val="zh-CN"/>
        </w:rPr>
        <w:t>激励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，每单</w:t>
      </w:r>
      <w:r>
        <w:rPr>
          <w:rFonts w:hint="eastAsia" w:eastAsia="仿宋" w:cs="Times New Roman"/>
          <w:sz w:val="32"/>
          <w:szCs w:val="32"/>
          <w:lang w:val="zh-CN"/>
        </w:rPr>
        <w:t>不超过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1万元，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每个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投保人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每年</w:t>
      </w:r>
      <w:r>
        <w:rPr>
          <w:rFonts w:hint="eastAsia" w:eastAsia="仿宋" w:cs="Times New Roman"/>
          <w:sz w:val="32"/>
          <w:szCs w:val="32"/>
          <w:lang w:val="en-US" w:eastAsia="zh-CN"/>
        </w:rPr>
        <w:t>激励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总额不超过5万元。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74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第四章  促进知识产权高水平管理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支持知识产权管理能力提升。对新认定的国家级知识产权示范企业、优势企业，分别给予10万元、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6万元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的激励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shd w:val="clear" w:color="auto" w:fill="auto"/>
          <w:lang w:val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第八条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支持知识产权信息运用能力提升。对开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shd w:val="clear" w:color="auto" w:fill="auto"/>
        </w:rPr>
        <w:t>展专利分析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shd w:val="clear" w:color="auto" w:fill="auto"/>
        </w:rPr>
        <w:t>预警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shd w:val="clear" w:color="auto" w:fill="auto"/>
        </w:rPr>
        <w:t>导航等促进类工作的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经评审遴选后，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shd w:val="clear" w:color="auto" w:fill="auto"/>
        </w:rPr>
        <w:t>给予</w:t>
      </w:r>
      <w:r>
        <w:rPr>
          <w:rFonts w:hint="eastAsia" w:eastAsia="方正仿宋简体" w:cs="Times New Roman"/>
          <w:b w:val="0"/>
          <w:bCs w:val="0"/>
          <w:sz w:val="32"/>
          <w:szCs w:val="32"/>
          <w:shd w:val="clear" w:color="auto" w:fill="auto"/>
          <w:lang w:eastAsia="zh-CN"/>
        </w:rPr>
        <w:t>不超过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shd w:val="clear" w:color="auto" w:fill="auto"/>
        </w:rPr>
        <w:t>10万元</w:t>
      </w:r>
      <w:r>
        <w:rPr>
          <w:rFonts w:hint="eastAsia" w:eastAsia="方正仿宋简体" w:cs="Times New Roman"/>
          <w:b w:val="0"/>
          <w:bCs w:val="0"/>
          <w:sz w:val="32"/>
          <w:szCs w:val="32"/>
          <w:shd w:val="clear" w:color="auto" w:fill="auto"/>
          <w:lang w:eastAsia="zh-CN"/>
        </w:rPr>
        <w:t>激励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第九条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支持知识产权综合能力建设。对省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级及以上知识产权运营体系建设单位，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建设期间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给予每年不超过100万元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激励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74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第五章  促进知识产权高品质服务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第十条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支持知识产权服务能力提升。知识产权服务机构代理企业专利获得中国专利奖、四川专利奖的，分别给予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不超过20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万元、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的激励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74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第六章  附则</w:t>
      </w:r>
    </w:p>
    <w:p>
      <w:pPr>
        <w:spacing w:line="574" w:lineRule="exact"/>
        <w:ind w:firstLine="640" w:firstLineChars="200"/>
        <w:rPr>
          <w:rFonts w:eastAsia="方正仿宋简体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第十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本政策措施自20</w:t>
      </w: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eastAsia="仿宋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eastAsia="仿宋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起</w:t>
      </w:r>
      <w:r>
        <w:rPr>
          <w:rFonts w:hint="default" w:ascii="Times New Roman" w:hAnsi="Times New Roman" w:eastAsia="仿宋" w:cs="Times New Roman"/>
          <w:sz w:val="32"/>
          <w:szCs w:val="32"/>
        </w:rPr>
        <w:t>实施，有效期</w:t>
      </w:r>
      <w:r>
        <w:rPr>
          <w:rFonts w:hint="default" w:eastAsia="仿宋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年，由成都市温江区市场监督管理局（</w:t>
      </w:r>
      <w:r>
        <w:rPr>
          <w:rFonts w:hint="eastAsia" w:eastAsia="仿宋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sz w:val="32"/>
          <w:szCs w:val="32"/>
        </w:rPr>
        <w:t>知识产权局）负责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具体</w:t>
      </w:r>
      <w:r>
        <w:rPr>
          <w:rFonts w:hint="eastAsia" w:eastAsia="仿宋" w:cs="Times New Roman"/>
          <w:sz w:val="32"/>
          <w:szCs w:val="32"/>
          <w:lang w:val="en-US" w:eastAsia="zh-CN"/>
        </w:rPr>
        <w:t>实施和</w:t>
      </w:r>
      <w:r>
        <w:rPr>
          <w:rFonts w:hint="default" w:ascii="Times New Roman" w:hAnsi="Times New Roman" w:eastAsia="仿宋" w:cs="Times New Roman"/>
          <w:sz w:val="32"/>
          <w:szCs w:val="32"/>
        </w:rPr>
        <w:t>解释</w:t>
      </w:r>
      <w:r>
        <w:rPr>
          <w:rFonts w:hint="eastAsia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本政策措施与其他政策相重叠的事项按照就高不重复原则执行</w:t>
      </w:r>
      <w:r>
        <w:rPr>
          <w:rFonts w:hint="eastAsia" w:eastAsia="仿宋" w:cs="Times New Roman"/>
          <w:sz w:val="32"/>
          <w:szCs w:val="32"/>
          <w:lang w:val="en-US" w:eastAsia="zh-CN"/>
        </w:rPr>
        <w:t>，</w:t>
      </w:r>
      <w:r>
        <w:rPr>
          <w:rFonts w:eastAsia="方正仿宋简体"/>
          <w:color w:val="000000"/>
          <w:sz w:val="32"/>
          <w:szCs w:val="32"/>
        </w:rPr>
        <w:t>可与上级政策叠加</w:t>
      </w:r>
      <w:r>
        <w:rPr>
          <w:rFonts w:hint="default" w:ascii="Times New Roman" w:hAnsi="Times New Roman" w:eastAsia="仿宋" w:cs="Times New Roman"/>
          <w:sz w:val="32"/>
          <w:szCs w:val="32"/>
        </w:rPr>
        <w:t>享受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eastAsia" w:eastAsia="仿宋" w:cs="Times New Roman"/>
          <w:sz w:val="32"/>
          <w:szCs w:val="32"/>
          <w:lang w:eastAsia="zh-CN"/>
        </w:rPr>
        <w:t>企事业单位</w:t>
      </w:r>
      <w:r>
        <w:rPr>
          <w:rFonts w:hint="default" w:ascii="Times New Roman" w:hAnsi="Times New Roman" w:eastAsia="仿宋" w:cs="Times New Roman"/>
          <w:sz w:val="32"/>
          <w:szCs w:val="32"/>
        </w:rPr>
        <w:t>符合温江区相关人才政策的，按照人才政策规定执行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如遇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国家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市相关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调整而产生冲突的，以调整后的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为准。《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成都市温江区促进知识产权创新发展政策措施》（温府规</w:t>
      </w:r>
      <w:r>
        <w:rPr>
          <w:rFonts w:eastAsia="方正仿宋简体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2023〕3号）同</w:t>
      </w:r>
      <w:r>
        <w:rPr>
          <w:rFonts w:hint="eastAsia" w:eastAsia="仿宋" w:cs="Times New Roman"/>
          <w:sz w:val="32"/>
          <w:szCs w:val="32"/>
          <w:vertAlign w:val="baseline"/>
          <w:lang w:val="en-US" w:eastAsia="zh-CN"/>
        </w:rPr>
        <w:t>步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废止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/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36C54"/>
    <w:rsid w:val="36685D0B"/>
    <w:rsid w:val="4ED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nhideWhenUsed/>
    <w:qFormat/>
    <w:uiPriority w:val="99"/>
    <w:pPr>
      <w:spacing w:line="240" w:lineRule="atLeast"/>
    </w:pPr>
    <w:rPr>
      <w:rFonts w:eastAsia="小标宋"/>
      <w:sz w:val="44"/>
    </w:rPr>
  </w:style>
  <w:style w:type="paragraph" w:customStyle="1" w:styleId="6">
    <w:name w:val="附件"/>
    <w:basedOn w:val="3"/>
    <w:qFormat/>
    <w:uiPriority w:val="0"/>
    <w:pPr>
      <w:spacing w:line="574" w:lineRule="exact"/>
    </w:pPr>
    <w:rPr>
      <w:rFonts w:ascii="黑体" w:hAnsi="黑体" w:eastAsia="黑体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2025-03-06T08:14:00Z</dcterms:created>
  <dc:creator>彭</dc:creator>
  <cp:lastModifiedBy>彭</cp:lastModifiedBy>
  <dcterms:modified xsi:type="dcterms:W3CDTF">2025-03-06T08:15:41Z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3F34A6A2BDB241F79F222A9E02048C84</vt:lpwstr>
  </property>
</Properties>
</file>