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10" w:rsidRDefault="004F2C10" w:rsidP="004F2C10">
      <w:pPr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</w:rPr>
        <w:t>1</w:t>
      </w:r>
    </w:p>
    <w:p w:rsidR="004F2C10" w:rsidRDefault="004F2C10" w:rsidP="004F2C10">
      <w:pPr>
        <w:ind w:firstLine="640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小标宋_GBK" w:hAnsi="Times New Roman" w:cs="Times New Roman"/>
          <w:sz w:val="32"/>
          <w:szCs w:val="32"/>
        </w:rPr>
        <w:t>支持市场主体培育条款涉及企业名单</w:t>
      </w:r>
    </w:p>
    <w:tbl>
      <w:tblPr>
        <w:tblW w:w="4995" w:type="pct"/>
        <w:tblLook w:val="04A0"/>
      </w:tblPr>
      <w:tblGrid>
        <w:gridCol w:w="818"/>
        <w:gridCol w:w="5239"/>
        <w:gridCol w:w="2247"/>
        <w:gridCol w:w="1088"/>
      </w:tblGrid>
      <w:tr w:rsidR="004F2C10" w:rsidTr="00B72F89">
        <w:trPr>
          <w:trHeight w:val="554"/>
          <w:tblHeader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Cs w:val="21"/>
                <w:lang/>
              </w:rPr>
              <w:t>序号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Cs w:val="21"/>
                <w:lang/>
              </w:rPr>
              <w:t>企业详细名称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黑体_GBK" w:hAnsi="Times New Roman" w:cs="Times New Roman"/>
                <w:color w:val="000000"/>
                <w:kern w:val="0"/>
                <w:szCs w:val="21"/>
                <w:lang/>
              </w:rPr>
              <w:t>申报条款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黑体_GBK" w:hAnsi="Times New Roman" w:cs="Times New Roman"/>
                <w:color w:val="000000"/>
                <w:szCs w:val="21"/>
              </w:rPr>
            </w:pPr>
            <w:r>
              <w:rPr>
                <w:rStyle w:val="font11"/>
                <w:rFonts w:ascii="Times New Roman" w:hAnsi="Times New Roman" w:cs="Times New Roman" w:hint="default"/>
                <w:szCs w:val="21"/>
                <w:lang/>
              </w:rPr>
              <w:t>备注</w:t>
            </w: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成都市欧货航现代物流有限公司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成都爱派克斯国际物流有限公司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第十五条、第十六条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成都笑纳电影城有限责任公司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四川谷满仓生态农业科技有限公司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成都欣博航空地勤服务有限公司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四川红鹰保安服务有限公司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成都中轨轨道设备有限公司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英韧科技（成都）有限公司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成都鑫盛瑞吉物流有限公司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成都中通智运供应链管理有限公司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成都双流华府医院有限责任公司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成都公交集团隆星汽车技术服务有限公司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速享（成都）商贸有限公司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四川腾旭物流有限公司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  <w:highlight w:val="yellow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  <w:highlight w:val="yellow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四川省壹零壹平台汽车销售服务有限公司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成都生物城酒店管理有限公司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四川卫康转化医学服务有限责任公司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成都悦宽酒店管理有限公司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19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成都季恩酒店管理有限公司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成都百顺隆平安汽车销售服务有限公司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四川鑫誉诚汽车销售有限公司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成都品信卓二手车经销有限公司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成都之间后勤管理服务有限公司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豪铃兴骑（成都）摩托车销售有限公司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四川省骋翔物资有限公司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成都宣宜汽车销售服务有限公司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四川忠柱建材有限公司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四川盛远新能国际贸易有限公司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29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四川企鹅车汇汽车销售有限公司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成都利钜体育用品有限公司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四川考拉好车汽车销售有限公司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四川盛印锂业有限公司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成都善胜云商贸有限公司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成都鑫弘海达汽车销售有限公司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成都百鑫盛品质汽车服务有限公司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成都奴比丹商贸有限公司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成都空钩悟道渔具有限公司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成都精致诚二手车经销有限公司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39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成都卡斯特名车馆汽车销售有限公司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lastRenderedPageBreak/>
              <w:t>40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四川康益农业有限公司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哎哟不错（成都）酒店管理有限公司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成都百世鸿途商贸有限公司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成都核总核动力研究设计工程有限公司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成都元泰明诚贸易有限公司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成都晓憨豆动力设备有限公司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成都千里玛新能源科技有限公司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四川省广春丰农业开发有限公司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成都林丰汽车服务有限公司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49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四川新广都大酒店管理有限公司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四川见福汽车贸易有限公司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四川蜀悦星供应链管理有限公司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智米智能餐饮（成都）有限公司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53</w:t>
            </w:r>
          </w:p>
        </w:tc>
        <w:tc>
          <w:tcPr>
            <w:tcW w:w="27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成都市百润圣辉连琐商业管理有限责任公司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第十五条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成都机场高速公路有限责任公司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成都市跨海物流有限公司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四川省国际航空货运发展有限公司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四川丝路易购科技有限公司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四川物流航空港有限公司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59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四川宏远通航物流有限公司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成都市吉祥锐意科技有限公司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斯伦贝谢科技服务（成都）有限公司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成都华侨城黄龙溪投资发展有限公司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四川航空股份有限公司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成都航空有限公司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成都双流国际机场股份有限公司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四川川航物业管理有限公司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成都核总谷兰物业管理有限公司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68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成都芯谷产业园发展有限公司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69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四川希望深蓝能源化工有限公司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70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四川希望深蓝化工有限公司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71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四川玺颂商贸有限公司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72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成都希羽彤商贸有限责任公司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73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成都兴科蓉医药有限公司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74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成都蜀娇农业发展有限公司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75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成都优菜餐饮管理服务有限公司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76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成都遥康新能源汽车销售服务有限公司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  <w:tr w:rsidR="004F2C10" w:rsidTr="00B72F89">
        <w:trPr>
          <w:trHeight w:val="288"/>
        </w:trPr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77</w:t>
            </w:r>
          </w:p>
        </w:tc>
        <w:tc>
          <w:tcPr>
            <w:tcW w:w="27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Style w:val="font41"/>
                <w:rFonts w:ascii="Times New Roman" w:hAnsi="Times New Roman" w:cs="Times New Roman"/>
                <w:szCs w:val="21"/>
                <w:lang/>
              </w:rPr>
              <w:t>成都星宸航都国际酒店有限公司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方正仿宋_GBK" w:hAnsi="Times New Roman" w:cs="Times New Roman"/>
                <w:color w:val="000000"/>
                <w:kern w:val="0"/>
                <w:szCs w:val="21"/>
                <w:lang/>
              </w:rPr>
              <w:t>第十六条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F2C10" w:rsidRDefault="004F2C10" w:rsidP="00B72F89">
            <w:pPr>
              <w:widowControl/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szCs w:val="21"/>
              </w:rPr>
            </w:pPr>
          </w:p>
        </w:tc>
      </w:tr>
    </w:tbl>
    <w:p w:rsidR="004F2C10" w:rsidRDefault="004F2C10" w:rsidP="004F2C10">
      <w:pPr>
        <w:rPr>
          <w:rFonts w:ascii="Times New Roman" w:hAnsi="Times New Roman" w:cs="Times New Roman"/>
        </w:rPr>
      </w:pPr>
    </w:p>
    <w:p w:rsidR="006707B5" w:rsidRDefault="006707B5"/>
    <w:sectPr w:rsidR="006707B5" w:rsidSect="00D47FB0">
      <w:pgSz w:w="11906" w:h="16838"/>
      <w:pgMar w:top="1417" w:right="1304" w:bottom="1417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2C10"/>
    <w:rsid w:val="00421D18"/>
    <w:rsid w:val="004F2C10"/>
    <w:rsid w:val="00670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1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qFormat/>
    <w:rsid w:val="004F2C10"/>
    <w:rPr>
      <w:rFonts w:ascii="方正黑体_GBK" w:eastAsia="方正黑体_GBK" w:hAnsi="方正黑体_GBK" w:cs="方正黑体_GBK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sid w:val="004F2C10"/>
    <w:rPr>
      <w:rFonts w:ascii="方正仿宋_GBK" w:eastAsia="方正仿宋_GBK" w:hAnsi="方正仿宋_GBK" w:cs="方正仿宋_GBK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1626</Characters>
  <Application>Microsoft Office Word</Application>
  <DocSecurity>0</DocSecurity>
  <Lines>13</Lines>
  <Paragraphs>3</Paragraphs>
  <ScaleCrop>false</ScaleCrop>
  <Company>CHINA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陈刚</dc:creator>
  <cp:keywords/>
  <dc:description/>
  <cp:lastModifiedBy>陈刚</cp:lastModifiedBy>
  <cp:revision>2</cp:revision>
  <dcterms:created xsi:type="dcterms:W3CDTF">2024-12-04T07:52:00Z</dcterms:created>
  <dcterms:modified xsi:type="dcterms:W3CDTF">2024-12-04T07:52:00Z</dcterms:modified>
</cp:coreProperties>
</file>