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left"/>
        <w:textAlignment w:val="auto"/>
        <w:rPr>
          <w:rFonts w:hint="default" w:ascii="Times New Roman" w:hAnsi="Times New Roman" w:eastAsia="方正小标宋_GBK" w:cs="Times New Roman"/>
          <w:color w:val="000000" w:themeColor="text1"/>
          <w:sz w:val="44"/>
          <w:szCs w:val="48"/>
          <w14:textFill>
            <w14:solidFill>
              <w14:schemeClr w14:val="tx1"/>
            </w14:solidFill>
          </w14:textFill>
        </w:rPr>
      </w:pPr>
      <w:bookmarkStart w:id="7" w:name="_GoBack"/>
      <w:bookmarkEnd w:id="7"/>
    </w:p>
    <w:p>
      <w:pPr>
        <w:pStyle w:val="18"/>
        <w:rPr>
          <w:rFonts w:hint="default" w:ascii="Times New Roman" w:hAnsi="Times New Roman" w:cs="Times New Roman"/>
        </w:rPr>
      </w:pPr>
    </w:p>
    <w:p>
      <w:pPr>
        <w:spacing w:line="600" w:lineRule="exact"/>
        <w:jc w:val="center"/>
        <w:rPr>
          <w:rFonts w:hint="default" w:ascii="Times New Roman" w:hAnsi="Times New Roman" w:eastAsia="方正小标宋_GBK" w:cs="Times New Roman"/>
          <w:color w:val="000000" w:themeColor="text1"/>
          <w:sz w:val="44"/>
          <w:szCs w:val="48"/>
          <w14:textFill>
            <w14:solidFill>
              <w14:schemeClr w14:val="tx1"/>
            </w14:solidFill>
          </w14:textFill>
        </w:rPr>
      </w:pPr>
      <w:r>
        <w:rPr>
          <w:rFonts w:hint="default" w:ascii="Times New Roman" w:hAnsi="Times New Roman" w:eastAsia="方正小标宋_GBK" w:cs="Times New Roman"/>
          <w:color w:val="000000" w:themeColor="text1"/>
          <w:sz w:val="44"/>
          <w:szCs w:val="48"/>
          <w14:textFill>
            <w14:solidFill>
              <w14:schemeClr w14:val="tx1"/>
            </w14:solidFill>
          </w14:textFill>
        </w:rPr>
        <w:t>四川省省级新型研发机构绩效考核</w:t>
      </w:r>
    </w:p>
    <w:p>
      <w:pPr>
        <w:spacing w:line="600" w:lineRule="exact"/>
        <w:jc w:val="center"/>
        <w:rPr>
          <w:rFonts w:hint="default" w:ascii="Times New Roman" w:hAnsi="Times New Roman" w:eastAsia="方正小标宋_GBK" w:cs="Times New Roman"/>
          <w:color w:val="000000" w:themeColor="text1"/>
          <w:sz w:val="44"/>
          <w:szCs w:val="48"/>
          <w14:textFill>
            <w14:solidFill>
              <w14:schemeClr w14:val="tx1"/>
            </w14:solidFill>
          </w14:textFill>
        </w:rPr>
      </w:pPr>
      <w:r>
        <w:rPr>
          <w:rFonts w:hint="default" w:ascii="Times New Roman" w:hAnsi="Times New Roman" w:eastAsia="方正小标宋_GBK" w:cs="Times New Roman"/>
          <w:color w:val="000000" w:themeColor="text1"/>
          <w:sz w:val="44"/>
          <w:szCs w:val="48"/>
          <w14:textFill>
            <w14:solidFill>
              <w14:schemeClr w14:val="tx1"/>
            </w14:solidFill>
          </w14:textFill>
        </w:rPr>
        <w:t>评估实施细则</w:t>
      </w:r>
    </w:p>
    <w:p>
      <w:pPr>
        <w:spacing w:line="600" w:lineRule="exact"/>
        <w:jc w:val="center"/>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楷体_GB2312" w:cs="Times New Roman"/>
          <w:color w:val="000000" w:themeColor="text1"/>
          <w:sz w:val="32"/>
          <w:szCs w:val="36"/>
          <w14:textFill>
            <w14:solidFill>
              <w14:schemeClr w14:val="tx1"/>
            </w14:solidFill>
          </w14:textFill>
        </w:rPr>
        <w:t>（</w:t>
      </w:r>
      <w:r>
        <w:rPr>
          <w:rFonts w:hint="default" w:ascii="Times New Roman" w:hAnsi="Times New Roman" w:eastAsia="楷体_GB2312" w:cs="Times New Roman"/>
          <w:color w:val="000000" w:themeColor="text1"/>
          <w:sz w:val="32"/>
          <w:szCs w:val="36"/>
          <w:lang w:eastAsia="zh-CN"/>
          <w14:textFill>
            <w14:solidFill>
              <w14:schemeClr w14:val="tx1"/>
            </w14:solidFill>
          </w14:textFill>
        </w:rPr>
        <w:t>征求意见稿</w:t>
      </w:r>
      <w:r>
        <w:rPr>
          <w:rFonts w:hint="default" w:ascii="Times New Roman" w:hAnsi="Times New Roman" w:eastAsia="楷体_GB2312" w:cs="Times New Roman"/>
          <w:color w:val="000000" w:themeColor="text1"/>
          <w:sz w:val="32"/>
          <w:szCs w:val="36"/>
          <w14:textFill>
            <w14:solidFill>
              <w14:schemeClr w14:val="tx1"/>
            </w14:solidFill>
          </w14:textFill>
        </w:rPr>
        <w:t>）</w:t>
      </w:r>
    </w:p>
    <w:p>
      <w:pPr>
        <w:spacing w:line="600" w:lineRule="exact"/>
        <w:jc w:val="center"/>
        <w:rPr>
          <w:rFonts w:hint="default" w:ascii="Times New Roman" w:hAnsi="Times New Roman" w:eastAsia="黑体" w:cs="Times New Roman"/>
          <w:color w:val="000000" w:themeColor="text1"/>
          <w:sz w:val="32"/>
          <w:szCs w:val="36"/>
          <w14:textFill>
            <w14:solidFill>
              <w14:schemeClr w14:val="tx1"/>
            </w14:solidFill>
          </w14:textFill>
        </w:rPr>
      </w:pPr>
    </w:p>
    <w:p>
      <w:pPr>
        <w:spacing w:line="600" w:lineRule="exact"/>
        <w:jc w:val="center"/>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第一章 总  则</w:t>
      </w:r>
    </w:p>
    <w:p>
      <w:pPr>
        <w:spacing w:line="600" w:lineRule="exact"/>
        <w:ind w:firstLine="640" w:firstLineChars="200"/>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第一条 </w:t>
      </w:r>
      <w:r>
        <w:rPr>
          <w:rFonts w:hint="default" w:ascii="Times New Roman" w:hAnsi="Times New Roman" w:eastAsia="仿宋_GB2312" w:cs="Times New Roman"/>
          <w:color w:val="000000" w:themeColor="text1"/>
          <w:sz w:val="32"/>
          <w:szCs w:val="36"/>
          <w14:textFill>
            <w14:solidFill>
              <w14:schemeClr w14:val="tx1"/>
            </w14:solidFill>
          </w14:textFill>
        </w:rPr>
        <w:t>为推动省级新型研发机构规范健康发展，根据科技部《关于促进新型研发机构发展的指导意见》（国科发政〔2019〕313号）、《四川省新型研发机构建设管理办法》（川科政〔2023〕2号）等文件精神，制定本细则。</w:t>
      </w:r>
    </w:p>
    <w:p>
      <w:pPr>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第二条 </w:t>
      </w:r>
      <w:r>
        <w:rPr>
          <w:rFonts w:hint="default" w:ascii="Times New Roman" w:hAnsi="Times New Roman" w:eastAsia="仿宋_GB2312" w:cs="Times New Roman"/>
          <w:color w:val="000000" w:themeColor="text1"/>
          <w:sz w:val="32"/>
          <w:szCs w:val="36"/>
          <w14:textFill>
            <w14:solidFill>
              <w14:schemeClr w14:val="tx1"/>
            </w14:solidFill>
          </w14:textFill>
        </w:rPr>
        <w:t>绩效评估的对象是按照《四川省新型研发机构建设管理办法》备案的省级新型研发机构（以下简称“新型研发机构”）。新型研发机构自备案起，以两年为一个评估周期。</w:t>
      </w:r>
    </w:p>
    <w:p>
      <w:pPr>
        <w:spacing w:line="600" w:lineRule="exact"/>
        <w:ind w:firstLine="640" w:firstLineChars="200"/>
        <w:rPr>
          <w:rFonts w:hint="default" w:ascii="Times New Roman" w:hAnsi="Times New Roman" w:eastAsia="仿宋_GB2312" w:cs="Times New Roman"/>
          <w:b/>
          <w:bCs/>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第三条 </w:t>
      </w:r>
      <w:r>
        <w:rPr>
          <w:rFonts w:hint="default" w:ascii="Times New Roman" w:hAnsi="Times New Roman" w:eastAsia="仿宋_GB2312" w:cs="Times New Roman"/>
          <w:color w:val="000000" w:themeColor="text1"/>
          <w:sz w:val="32"/>
          <w:szCs w:val="36"/>
          <w14:textFill>
            <w14:solidFill>
              <w14:schemeClr w14:val="tx1"/>
            </w14:solidFill>
          </w14:textFill>
        </w:rPr>
        <w:t>绩效评估主要由基础指标和特色指标构成。基础指标包括基础能力、人才聚集、创新活动、创新产出四个方面。特色指标则根据新型研发机构不同功能定位，按照科学研究、技术创新和成果转化三个方面设置指标与权重，</w:t>
      </w:r>
      <w:bookmarkStart w:id="0" w:name="OLE_LINK1"/>
      <w:r>
        <w:rPr>
          <w:rFonts w:hint="default" w:ascii="Times New Roman" w:hAnsi="Times New Roman" w:eastAsia="仿宋_GB2312" w:cs="Times New Roman"/>
          <w:color w:val="000000" w:themeColor="text1"/>
          <w:sz w:val="32"/>
          <w:szCs w:val="36"/>
          <w14:textFill>
            <w14:solidFill>
              <w14:schemeClr w14:val="tx1"/>
            </w14:solidFill>
          </w14:textFill>
        </w:rPr>
        <w:t>各新型研发机构应结合自身发展实际，选择1-2个方向参与绩效评估，</w:t>
      </w:r>
      <w:r>
        <w:rPr>
          <w:rFonts w:hint="default" w:ascii="Times New Roman" w:hAnsi="Times New Roman" w:eastAsia="仿宋_GB2312" w:cs="Times New Roman"/>
          <w:color w:val="000000" w:themeColor="text1"/>
          <w:sz w:val="32"/>
          <w:szCs w:val="36"/>
          <w:lang w:val="en-US" w:eastAsia="zh-CN"/>
          <w14:textFill>
            <w14:solidFill>
              <w14:schemeClr w14:val="tx1"/>
            </w14:solidFill>
          </w14:textFill>
        </w:rPr>
        <w:t>以评分最高的为</w:t>
      </w:r>
      <w:r>
        <w:rPr>
          <w:rFonts w:hint="default" w:ascii="Times New Roman" w:hAnsi="Times New Roman" w:eastAsia="仿宋_GB2312" w:cs="Times New Roman"/>
          <w:color w:val="000000" w:themeColor="text1"/>
          <w:sz w:val="32"/>
          <w:szCs w:val="36"/>
          <w14:textFill>
            <w14:solidFill>
              <w14:schemeClr w14:val="tx1"/>
            </w14:solidFill>
          </w14:textFill>
        </w:rPr>
        <w:t>最终得分</w:t>
      </w:r>
      <w:r>
        <w:rPr>
          <w:rFonts w:hint="default" w:ascii="Times New Roman" w:hAnsi="Times New Roman" w:eastAsia="仿宋_GB2312" w:cs="Times New Roman"/>
          <w:b/>
          <w:bCs/>
          <w:color w:val="000000" w:themeColor="text1"/>
          <w:sz w:val="32"/>
          <w:szCs w:val="36"/>
          <w14:textFill>
            <w14:solidFill>
              <w14:schemeClr w14:val="tx1"/>
            </w14:solidFill>
          </w14:textFill>
        </w:rPr>
        <w:t>。</w:t>
      </w:r>
    </w:p>
    <w:bookmarkEnd w:id="0"/>
    <w:p>
      <w:pPr>
        <w:spacing w:line="600" w:lineRule="exact"/>
        <w:ind w:firstLine="640" w:firstLineChars="200"/>
        <w:rPr>
          <w:rFonts w:hint="default" w:ascii="Times New Roman" w:hAnsi="Times New Roman" w:eastAsia="仿宋_GB2312" w:cs="Times New Roman"/>
          <w:b/>
          <w:bCs/>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其中，科学研究侧重评估</w:t>
      </w:r>
      <w:r>
        <w:rPr>
          <w:rFonts w:hint="default" w:ascii="Times New Roman" w:hAnsi="Times New Roman" w:eastAsia="仿宋_GB2312" w:cs="Times New Roman"/>
          <w:color w:val="000000" w:themeColor="text1"/>
          <w:sz w:val="32"/>
          <w:szCs w:val="36"/>
          <w:lang w:val="en-US" w:eastAsia="zh-CN"/>
          <w14:textFill>
            <w14:solidFill>
              <w14:schemeClr w14:val="tx1"/>
            </w14:solidFill>
          </w14:textFill>
        </w:rPr>
        <w:t>原始创新能力、学术</w:t>
      </w:r>
      <w:r>
        <w:rPr>
          <w:rFonts w:hint="default" w:ascii="Times New Roman" w:hAnsi="Times New Roman" w:eastAsia="仿宋_GB2312" w:cs="Times New Roman"/>
          <w:color w:val="000000" w:themeColor="text1"/>
          <w:sz w:val="32"/>
          <w:szCs w:val="36"/>
          <w14:textFill>
            <w14:solidFill>
              <w14:schemeClr w14:val="tx1"/>
            </w14:solidFill>
          </w14:textFill>
        </w:rPr>
        <w:t>影响力等；</w:t>
      </w:r>
      <w:bookmarkStart w:id="1" w:name="OLE_LINK26"/>
      <w:r>
        <w:rPr>
          <w:rFonts w:hint="default" w:ascii="Times New Roman" w:hAnsi="Times New Roman" w:eastAsia="仿宋_GB2312" w:cs="Times New Roman"/>
          <w:color w:val="000000" w:themeColor="text1"/>
          <w:sz w:val="32"/>
          <w:szCs w:val="36"/>
          <w14:textFill>
            <w14:solidFill>
              <w14:schemeClr w14:val="tx1"/>
            </w14:solidFill>
          </w14:textFill>
        </w:rPr>
        <w:t>技术创新侧重评估攻克</w:t>
      </w:r>
      <w:r>
        <w:rPr>
          <w:rFonts w:hint="default" w:ascii="Times New Roman" w:hAnsi="Times New Roman" w:eastAsia="仿宋_GB2312" w:cs="Times New Roman"/>
          <w:color w:val="000000" w:themeColor="text1"/>
          <w:sz w:val="32"/>
          <w:szCs w:val="36"/>
          <w:lang w:eastAsia="zh-CN"/>
          <w14:textFill>
            <w14:solidFill>
              <w14:schemeClr w14:val="tx1"/>
            </w14:solidFill>
          </w14:textFill>
        </w:rPr>
        <w:t>产业</w:t>
      </w:r>
      <w:r>
        <w:rPr>
          <w:rFonts w:hint="default" w:ascii="Times New Roman" w:hAnsi="Times New Roman" w:eastAsia="仿宋_GB2312" w:cs="Times New Roman"/>
          <w:color w:val="000000" w:themeColor="text1"/>
          <w:sz w:val="32"/>
          <w:szCs w:val="36"/>
          <w14:textFill>
            <w14:solidFill>
              <w14:schemeClr w14:val="tx1"/>
            </w14:solidFill>
          </w14:textFill>
        </w:rPr>
        <w:t>关键核心技术难题、</w:t>
      </w:r>
      <w:bookmarkEnd w:id="1"/>
      <w:bookmarkStart w:id="2" w:name="OLE_LINK27"/>
      <w:r>
        <w:rPr>
          <w:rFonts w:hint="default" w:ascii="Times New Roman" w:hAnsi="Times New Roman" w:eastAsia="仿宋_GB2312" w:cs="Times New Roman"/>
          <w:color w:val="000000" w:themeColor="text1"/>
          <w:sz w:val="32"/>
          <w:szCs w:val="36"/>
          <w14:textFill>
            <w14:solidFill>
              <w14:schemeClr w14:val="tx1"/>
            </w14:solidFill>
          </w14:textFill>
        </w:rPr>
        <w:t>工程化产业化推进情况</w:t>
      </w:r>
      <w:bookmarkEnd w:id="2"/>
      <w:r>
        <w:rPr>
          <w:rFonts w:hint="default" w:ascii="Times New Roman" w:hAnsi="Times New Roman" w:eastAsia="仿宋_GB2312" w:cs="Times New Roman"/>
          <w:color w:val="000000" w:themeColor="text1"/>
          <w:sz w:val="32"/>
          <w:szCs w:val="36"/>
          <w14:textFill>
            <w14:solidFill>
              <w14:schemeClr w14:val="tx1"/>
            </w14:solidFill>
          </w14:textFill>
        </w:rPr>
        <w:t>等；成果转化侧重评估成果转化、</w:t>
      </w:r>
      <w:bookmarkStart w:id="3" w:name="OLE_LINK17"/>
      <w:r>
        <w:rPr>
          <w:rFonts w:hint="default" w:ascii="Times New Roman" w:hAnsi="Times New Roman" w:eastAsia="仿宋_GB2312" w:cs="Times New Roman"/>
          <w:color w:val="000000" w:themeColor="text1"/>
          <w:sz w:val="32"/>
          <w:szCs w:val="36"/>
          <w14:textFill>
            <w14:solidFill>
              <w14:schemeClr w14:val="tx1"/>
            </w14:solidFill>
          </w14:textFill>
        </w:rPr>
        <w:t>企业孵化与产业服务成效</w:t>
      </w:r>
      <w:bookmarkEnd w:id="3"/>
      <w:r>
        <w:rPr>
          <w:rFonts w:hint="default" w:ascii="Times New Roman" w:hAnsi="Times New Roman" w:eastAsia="仿宋_GB2312" w:cs="Times New Roman"/>
          <w:color w:val="000000" w:themeColor="text1"/>
          <w:sz w:val="32"/>
          <w:szCs w:val="36"/>
          <w14:textFill>
            <w14:solidFill>
              <w14:schemeClr w14:val="tx1"/>
            </w14:solidFill>
          </w14:textFill>
        </w:rPr>
        <w:t>等。</w:t>
      </w:r>
    </w:p>
    <w:p>
      <w:pPr>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第四条 </w:t>
      </w:r>
      <w:r>
        <w:rPr>
          <w:rFonts w:hint="default" w:ascii="Times New Roman" w:hAnsi="Times New Roman" w:eastAsia="仿宋_GB2312" w:cs="Times New Roman"/>
          <w:color w:val="000000" w:themeColor="text1"/>
          <w:sz w:val="32"/>
          <w:szCs w:val="36"/>
          <w14:textFill>
            <w14:solidFill>
              <w14:schemeClr w14:val="tx1"/>
            </w14:solidFill>
          </w14:textFill>
        </w:rPr>
        <w:t>科技厅（省委科技办）组织专家或委托第三方评估机构组织专家进行评估。新型研发机构主管部门负责组织新型研发机构做好绩效考核评估工作。</w:t>
      </w:r>
    </w:p>
    <w:p>
      <w:pPr>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第五条 </w:t>
      </w:r>
      <w:r>
        <w:rPr>
          <w:rFonts w:hint="default" w:ascii="Times New Roman" w:hAnsi="Times New Roman" w:eastAsia="仿宋_GB2312" w:cs="Times New Roman"/>
          <w:color w:val="000000" w:themeColor="text1"/>
          <w:sz w:val="32"/>
          <w:szCs w:val="36"/>
          <w14:textFill>
            <w14:solidFill>
              <w14:schemeClr w14:val="tx1"/>
            </w14:solidFill>
          </w14:textFill>
        </w:rPr>
        <w:t>考核评估按照公开、公平、公正的原则，注重实效。</w:t>
      </w:r>
    </w:p>
    <w:p>
      <w:pPr>
        <w:spacing w:line="600" w:lineRule="exact"/>
        <w:ind w:firstLine="640" w:firstLineChars="200"/>
        <w:jc w:val="center"/>
        <w:rPr>
          <w:rFonts w:hint="default" w:ascii="Times New Roman" w:hAnsi="Times New Roman" w:eastAsia="仿宋_GB2312" w:cs="Times New Roman"/>
          <w:color w:val="000000" w:themeColor="text1"/>
          <w:sz w:val="32"/>
          <w:szCs w:val="36"/>
          <w14:textFill>
            <w14:solidFill>
              <w14:schemeClr w14:val="tx1"/>
            </w14:solidFill>
          </w14:textFill>
        </w:rPr>
      </w:pPr>
    </w:p>
    <w:p>
      <w:pPr>
        <w:spacing w:line="600" w:lineRule="exact"/>
        <w:jc w:val="center"/>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第二章 评估程序</w:t>
      </w:r>
    </w:p>
    <w:p>
      <w:pPr>
        <w:spacing w:line="60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第六条 </w:t>
      </w:r>
      <w:r>
        <w:rPr>
          <w:rFonts w:hint="default" w:ascii="Times New Roman" w:hAnsi="Times New Roman" w:eastAsia="仿宋_GB2312" w:cs="Times New Roman"/>
          <w:color w:val="000000" w:themeColor="text1"/>
          <w:sz w:val="32"/>
          <w:szCs w:val="32"/>
          <w14:textFill>
            <w14:solidFill>
              <w14:schemeClr w14:val="tx1"/>
            </w14:solidFill>
          </w14:textFill>
        </w:rPr>
        <w:t>科技厅</w:t>
      </w:r>
      <w:r>
        <w:rPr>
          <w:rFonts w:hint="default" w:ascii="Times New Roman" w:hAnsi="Times New Roman" w:eastAsia="仿宋_GB2312" w:cs="Times New Roman"/>
          <w:color w:val="000000" w:themeColor="text1"/>
          <w:sz w:val="32"/>
          <w:szCs w:val="36"/>
          <w14:textFill>
            <w14:solidFill>
              <w14:schemeClr w14:val="tx1"/>
            </w14:solidFill>
          </w14:textFill>
        </w:rPr>
        <w:t>（省委科技办）</w:t>
      </w:r>
      <w:r>
        <w:rPr>
          <w:rFonts w:hint="default" w:ascii="Times New Roman" w:hAnsi="Times New Roman" w:eastAsia="仿宋_GB2312" w:cs="Times New Roman"/>
          <w:color w:val="000000" w:themeColor="text1"/>
          <w:sz w:val="32"/>
          <w:szCs w:val="32"/>
          <w14:textFill>
            <w14:solidFill>
              <w14:schemeClr w14:val="tx1"/>
            </w14:solidFill>
          </w14:textFill>
        </w:rPr>
        <w:t>发布新型研发机构考核评估通知，新型研发机构按照评估通知要求，形成自评估报告及相关附件材料，经主管部门形式审查后报</w:t>
      </w:r>
      <w:r>
        <w:rPr>
          <w:rFonts w:hint="default" w:ascii="Times New Roman" w:hAnsi="Times New Roman" w:eastAsia="仿宋_GB2312" w:cs="Times New Roman"/>
          <w:color w:val="000000" w:themeColor="text1"/>
          <w:sz w:val="32"/>
          <w:szCs w:val="36"/>
          <w14:textFill>
            <w14:solidFill>
              <w14:schemeClr w14:val="tx1"/>
            </w14:solidFill>
          </w14:textFill>
        </w:rPr>
        <w:t>科技厅（省委科技办）</w:t>
      </w:r>
      <w:r>
        <w:rPr>
          <w:rFonts w:hint="default" w:ascii="Times New Roman" w:hAnsi="Times New Roman" w:eastAsia="仿宋_GB2312" w:cs="Times New Roman"/>
          <w:color w:val="000000" w:themeColor="text1"/>
          <w:sz w:val="32"/>
          <w:szCs w:val="32"/>
          <w14:textFill>
            <w14:solidFill>
              <w14:schemeClr w14:val="tx1"/>
            </w14:solidFill>
          </w14:textFill>
        </w:rPr>
        <w:t>。</w:t>
      </w:r>
    </w:p>
    <w:p>
      <w:pPr>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第七条</w:t>
      </w:r>
      <w:r>
        <w:rPr>
          <w:rFonts w:hint="default" w:ascii="Times New Roman" w:hAnsi="Times New Roman" w:eastAsia="仿宋_GB2312" w:cs="Times New Roman"/>
          <w:color w:val="000000" w:themeColor="text1"/>
          <w:sz w:val="32"/>
          <w:szCs w:val="32"/>
          <w14:textFill>
            <w14:solidFill>
              <w14:schemeClr w14:val="tx1"/>
            </w14:solidFill>
          </w14:textFill>
        </w:rPr>
        <w:t xml:space="preserve"> 组织专家采取会议评审和现场考察相结合的方式进行评估。</w:t>
      </w:r>
      <w:r>
        <w:rPr>
          <w:rFonts w:hint="default" w:ascii="Times New Roman" w:hAnsi="Times New Roman" w:eastAsia="仿宋_GB2312" w:cs="Times New Roman"/>
          <w:color w:val="000000" w:themeColor="text1"/>
          <w:sz w:val="32"/>
          <w:szCs w:val="36"/>
          <w14:textFill>
            <w14:solidFill>
              <w14:schemeClr w14:val="tx1"/>
            </w14:solidFill>
          </w14:textFill>
        </w:rPr>
        <w:t>评估成绩按照会议评审和</w:t>
      </w:r>
      <w:r>
        <w:rPr>
          <w:rFonts w:hint="default" w:ascii="Times New Roman" w:hAnsi="Times New Roman" w:eastAsia="仿宋_GB2312" w:cs="Times New Roman"/>
          <w:color w:val="000000" w:themeColor="text1"/>
          <w:sz w:val="32"/>
          <w:szCs w:val="32"/>
          <w14:textFill>
            <w14:solidFill>
              <w14:schemeClr w14:val="tx1"/>
            </w14:solidFill>
          </w14:textFill>
        </w:rPr>
        <w:t>现场考察</w:t>
      </w:r>
      <w:r>
        <w:rPr>
          <w:rFonts w:hint="default" w:ascii="Times New Roman" w:hAnsi="Times New Roman" w:eastAsia="仿宋_GB2312" w:cs="Times New Roman"/>
          <w:color w:val="000000" w:themeColor="text1"/>
          <w:sz w:val="32"/>
          <w:szCs w:val="36"/>
          <w14:textFill>
            <w14:solidFill>
              <w14:schemeClr w14:val="tx1"/>
            </w14:solidFill>
          </w14:textFill>
        </w:rPr>
        <w:t>分别占比50%计算得出。</w:t>
      </w:r>
    </w:p>
    <w:p>
      <w:pPr>
        <w:spacing w:line="60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第八条</w:t>
      </w:r>
      <w:r>
        <w:rPr>
          <w:rFonts w:hint="default" w:ascii="Times New Roman" w:hAnsi="Times New Roman" w:eastAsia="仿宋_GB2312" w:cs="Times New Roman"/>
          <w:color w:val="000000" w:themeColor="text1"/>
          <w:sz w:val="32"/>
          <w:szCs w:val="36"/>
          <w14:textFill>
            <w14:solidFill>
              <w14:schemeClr w14:val="tx1"/>
            </w14:solidFill>
          </w14:textFill>
        </w:rPr>
        <w:t xml:space="preserve"> 评估</w:t>
      </w:r>
      <w:r>
        <w:rPr>
          <w:rFonts w:hint="default" w:ascii="Times New Roman" w:hAnsi="Times New Roman" w:eastAsia="仿宋_GB2312" w:cs="Times New Roman"/>
          <w:color w:val="000000" w:themeColor="text1"/>
          <w:sz w:val="32"/>
          <w:szCs w:val="32"/>
          <w14:textFill>
            <w14:solidFill>
              <w14:schemeClr w14:val="tx1"/>
            </w14:solidFill>
          </w14:textFill>
        </w:rPr>
        <w:t>专家组应由5名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及</w:t>
      </w:r>
      <w:r>
        <w:rPr>
          <w:rFonts w:hint="default" w:ascii="Times New Roman" w:hAnsi="Times New Roman" w:eastAsia="仿宋_GB2312" w:cs="Times New Roman"/>
          <w:color w:val="000000" w:themeColor="text1"/>
          <w:sz w:val="32"/>
          <w:szCs w:val="32"/>
          <w14:textFill>
            <w14:solidFill>
              <w14:schemeClr w14:val="tx1"/>
            </w14:solidFill>
          </w14:textFill>
        </w:rPr>
        <w:t>以上相关产业、技术、管理及财务专家组成。评估专家对</w:t>
      </w:r>
      <w:r>
        <w:rPr>
          <w:rFonts w:hint="default" w:ascii="Times New Roman" w:hAnsi="Times New Roman" w:eastAsia="仿宋_GB2312" w:cs="Times New Roman"/>
          <w:color w:val="000000" w:themeColor="text1"/>
          <w:sz w:val="32"/>
          <w:szCs w:val="36"/>
          <w14:textFill>
            <w14:solidFill>
              <w14:schemeClr w14:val="tx1"/>
            </w14:solidFill>
          </w14:textFill>
        </w:rPr>
        <w:t>评估</w:t>
      </w:r>
      <w:r>
        <w:rPr>
          <w:rFonts w:hint="default" w:ascii="Times New Roman" w:hAnsi="Times New Roman" w:eastAsia="仿宋_GB2312" w:cs="Times New Roman"/>
          <w:color w:val="000000" w:themeColor="text1"/>
          <w:sz w:val="32"/>
          <w:szCs w:val="32"/>
          <w14:textFill>
            <w14:solidFill>
              <w14:schemeClr w14:val="tx1"/>
            </w14:solidFill>
          </w14:textFill>
        </w:rPr>
        <w:t>工作所涉及的材料、业务内容、相关知识产权、</w:t>
      </w:r>
      <w:r>
        <w:rPr>
          <w:rFonts w:hint="default" w:ascii="Times New Roman" w:hAnsi="Times New Roman" w:eastAsia="仿宋_GB2312" w:cs="Times New Roman"/>
          <w:color w:val="000000" w:themeColor="text1"/>
          <w:sz w:val="32"/>
          <w:szCs w:val="36"/>
          <w14:textFill>
            <w14:solidFill>
              <w14:schemeClr w14:val="tx1"/>
            </w14:solidFill>
          </w14:textFill>
        </w:rPr>
        <w:t>评估</w:t>
      </w:r>
      <w:r>
        <w:rPr>
          <w:rFonts w:hint="default" w:ascii="Times New Roman" w:hAnsi="Times New Roman" w:eastAsia="仿宋_GB2312" w:cs="Times New Roman"/>
          <w:color w:val="000000" w:themeColor="text1"/>
          <w:sz w:val="32"/>
          <w:szCs w:val="32"/>
          <w14:textFill>
            <w14:solidFill>
              <w14:schemeClr w14:val="tx1"/>
            </w14:solidFill>
          </w14:textFill>
        </w:rPr>
        <w:t>结果等负有保密义务。</w:t>
      </w:r>
    </w:p>
    <w:p>
      <w:pPr>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第九条</w:t>
      </w:r>
      <w:r>
        <w:rPr>
          <w:rStyle w:val="21"/>
          <w:rFonts w:hint="default" w:ascii="Times New Roman" w:hAnsi="Times New Roman" w:cs="Times New Roman"/>
          <w:color w:val="000000" w:themeColor="text1"/>
          <w14:textFill>
            <w14:solidFill>
              <w14:schemeClr w14:val="tx1"/>
            </w14:solidFill>
          </w14:textFill>
        </w:rPr>
        <w:t xml:space="preserve"> </w:t>
      </w:r>
      <w:r>
        <w:rPr>
          <w:rFonts w:hint="default" w:ascii="Times New Roman" w:hAnsi="Times New Roman" w:eastAsia="仿宋_GB2312" w:cs="Times New Roman"/>
          <w:color w:val="000000" w:themeColor="text1"/>
          <w:sz w:val="32"/>
          <w:szCs w:val="36"/>
          <w14:textFill>
            <w14:solidFill>
              <w14:schemeClr w14:val="tx1"/>
            </w14:solidFill>
          </w14:textFill>
        </w:rPr>
        <w:t>绩效评估结果分为优秀、良好、合格和不合格四类，其中分值在80-100分为优秀，70-80（不含）分为良好，60-70（不含）分为合格，60分以下为不合格。</w:t>
      </w:r>
    </w:p>
    <w:p>
      <w:pPr>
        <w:widowControl/>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第十条</w:t>
      </w:r>
      <w:r>
        <w:rPr>
          <w:rStyle w:val="21"/>
          <w:rFonts w:hint="default" w:ascii="Times New Roman" w:hAnsi="Times New Roman" w:cs="Times New Roman"/>
          <w:color w:val="000000" w:themeColor="text1"/>
          <w14:textFill>
            <w14:solidFill>
              <w14:schemeClr w14:val="tx1"/>
            </w14:solidFill>
          </w14:textFill>
        </w:rPr>
        <w:t xml:space="preserve"> </w:t>
      </w:r>
      <w:r>
        <w:rPr>
          <w:rFonts w:hint="default" w:ascii="Times New Roman" w:hAnsi="Times New Roman" w:eastAsia="仿宋_GB2312" w:cs="Times New Roman"/>
          <w:color w:val="000000" w:themeColor="text1"/>
          <w:sz w:val="32"/>
          <w:szCs w:val="36"/>
          <w14:textFill>
            <w14:solidFill>
              <w14:schemeClr w14:val="tx1"/>
            </w14:solidFill>
          </w14:textFill>
        </w:rPr>
        <w:t>存在下列情况之一的，直接认定为不合格：</w:t>
      </w:r>
    </w:p>
    <w:p>
      <w:pPr>
        <w:widowControl/>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（一）机构因</w:t>
      </w:r>
      <w:r>
        <w:rPr>
          <w:rFonts w:hint="default" w:ascii="Times New Roman" w:hAnsi="Times New Roman" w:eastAsia="仿宋_GB2312" w:cs="Times New Roman"/>
          <w:color w:val="000000" w:themeColor="text1"/>
          <w:sz w:val="32"/>
          <w:szCs w:val="32"/>
          <w14:textFill>
            <w14:solidFill>
              <w14:schemeClr w14:val="tx1"/>
            </w14:solidFill>
          </w14:textFill>
        </w:rPr>
        <w:t>严重违背科研诚信、科技伦理和</w:t>
      </w:r>
      <w:r>
        <w:rPr>
          <w:rFonts w:hint="default" w:ascii="Times New Roman" w:hAnsi="Times New Roman" w:eastAsia="仿宋_GB2312" w:cs="Times New Roman"/>
          <w:color w:val="000000" w:themeColor="text1"/>
          <w:sz w:val="32"/>
          <w:szCs w:val="36"/>
          <w14:textFill>
            <w14:solidFill>
              <w14:schemeClr w14:val="tx1"/>
            </w14:solidFill>
          </w14:textFill>
        </w:rPr>
        <w:t>其他严重失信行为被纳入</w:t>
      </w:r>
      <w:r>
        <w:rPr>
          <w:rFonts w:hint="eastAsia" w:ascii="Times New Roman" w:hAnsi="Times New Roman" w:eastAsia="仿宋_GB2312" w:cs="Times New Roman"/>
          <w:color w:val="000000" w:themeColor="text1"/>
          <w:sz w:val="32"/>
          <w:szCs w:val="36"/>
          <w:lang w:val="en-US" w:eastAsia="zh-CN"/>
          <w14:textFill>
            <w14:solidFill>
              <w14:schemeClr w14:val="tx1"/>
            </w14:solidFill>
          </w14:textFill>
        </w:rPr>
        <w:t>科</w:t>
      </w:r>
      <w:r>
        <w:rPr>
          <w:rFonts w:hint="default" w:ascii="Times New Roman" w:hAnsi="Times New Roman" w:eastAsia="仿宋_GB2312" w:cs="Times New Roman"/>
          <w:color w:val="000000" w:themeColor="text1"/>
          <w:sz w:val="32"/>
          <w:szCs w:val="36"/>
          <w14:textFill>
            <w14:solidFill>
              <w14:schemeClr w14:val="tx1"/>
            </w14:solidFill>
          </w14:textFill>
        </w:rPr>
        <w:t>研诚信严重失信记录的；</w:t>
      </w:r>
    </w:p>
    <w:p>
      <w:pPr>
        <w:widowControl/>
        <w:spacing w:line="60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（二）重大事项变更导致资格失效的；</w:t>
      </w:r>
    </w:p>
    <w:p>
      <w:pPr>
        <w:widowControl/>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（三）逾期未报送绩效评估材料，且不配合评估工作的；</w:t>
      </w:r>
    </w:p>
    <w:p>
      <w:pPr>
        <w:widowControl/>
        <w:spacing w:line="600" w:lineRule="exact"/>
        <w:ind w:firstLine="640" w:firstLineChars="200"/>
        <w:rPr>
          <w:rFonts w:hint="eastAsia" w:ascii="Times New Roman" w:hAnsi="Times New Roman" w:eastAsia="仿宋_GB2312" w:cs="Times New Roman"/>
          <w:color w:val="000000" w:themeColor="text1"/>
          <w:sz w:val="32"/>
          <w:szCs w:val="36"/>
          <w:lang w:eastAsia="zh-CN"/>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（四）提供虚假材料和数据经核实严重影响评估结果</w:t>
      </w:r>
      <w:r>
        <w:rPr>
          <w:rFonts w:hint="eastAsia" w:ascii="Times New Roman" w:hAnsi="Times New Roman" w:eastAsia="仿宋_GB2312" w:cs="Times New Roman"/>
          <w:color w:val="000000" w:themeColor="text1"/>
          <w:sz w:val="32"/>
          <w:szCs w:val="36"/>
          <w:lang w:eastAsia="zh-CN"/>
          <w14:textFill>
            <w14:solidFill>
              <w14:schemeClr w14:val="tx1"/>
            </w14:solidFill>
          </w14:textFill>
        </w:rPr>
        <w:t>；</w:t>
      </w:r>
    </w:p>
    <w:p>
      <w:pPr>
        <w:widowControl/>
        <w:spacing w:line="600" w:lineRule="exact"/>
        <w:ind w:firstLine="640" w:firstLineChars="200"/>
        <w:rPr>
          <w:rFonts w:hint="eastAsia" w:ascii="Times New Roman" w:hAnsi="Times New Roman" w:eastAsia="仿宋_GB2312" w:cs="Times New Roman"/>
          <w:b w:val="0"/>
          <w:bCs w:val="0"/>
          <w:color w:val="000000" w:themeColor="text1"/>
          <w:sz w:val="32"/>
          <w:szCs w:val="36"/>
          <w:vertAlign w:val="baseline"/>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sz w:val="32"/>
          <w:szCs w:val="36"/>
          <w:vertAlign w:val="baseline"/>
          <w:lang w:val="en-US" w:eastAsia="zh-CN"/>
          <w14:textFill>
            <w14:solidFill>
              <w14:schemeClr w14:val="tx1"/>
            </w14:solidFill>
          </w14:textFill>
        </w:rPr>
        <w:t>（五）机构主要负责人或相关人员有严重违规违纪违法行为的</w:t>
      </w:r>
      <w:r>
        <w:rPr>
          <w:rFonts w:hint="eastAsia" w:ascii="Times New Roman" w:hAnsi="Times New Roman" w:eastAsia="仿宋_GB2312" w:cs="Times New Roman"/>
          <w:b w:val="0"/>
          <w:bCs w:val="0"/>
          <w:color w:val="000000" w:themeColor="text1"/>
          <w:sz w:val="32"/>
          <w:szCs w:val="36"/>
          <w:vertAlign w:val="baseline"/>
          <w:lang w:val="en-US" w:eastAsia="zh-CN"/>
          <w14:textFill>
            <w14:solidFill>
              <w14:schemeClr w14:val="tx1"/>
            </w14:solidFill>
          </w14:textFill>
        </w:rPr>
        <w:t>。</w:t>
      </w:r>
    </w:p>
    <w:p>
      <w:pPr>
        <w:widowControl/>
        <w:spacing w:line="600" w:lineRule="exact"/>
        <w:ind w:firstLine="640" w:firstLineChars="200"/>
        <w:rPr>
          <w:rFonts w:hint="default" w:ascii="Times New Roman" w:hAnsi="Times New Roman" w:eastAsia="仿宋_GB2312" w:cs="Times New Roman"/>
          <w:color w:val="000000" w:themeColor="text1"/>
          <w:sz w:val="32"/>
          <w:szCs w:val="36"/>
          <w:lang w:eastAsia="zh-CN"/>
          <w14:textFill>
            <w14:solidFill>
              <w14:schemeClr w14:val="tx1"/>
            </w14:solidFill>
          </w14:textFill>
        </w:rPr>
      </w:pPr>
      <w:r>
        <w:rPr>
          <w:rFonts w:hint="default" w:ascii="Times New Roman" w:hAnsi="Times New Roman" w:eastAsia="仿宋_GB2312" w:cs="Times New Roman"/>
          <w:color w:val="000000" w:themeColor="text1"/>
          <w:sz w:val="32"/>
          <w:szCs w:val="36"/>
          <w:lang w:eastAsia="zh-CN"/>
          <w14:textFill>
            <w14:solidFill>
              <w14:schemeClr w14:val="tx1"/>
            </w14:solidFill>
          </w14:textFill>
        </w:rPr>
        <w:t>（</w:t>
      </w:r>
      <w:r>
        <w:rPr>
          <w:rFonts w:hint="default" w:ascii="Times New Roman" w:hAnsi="Times New Roman" w:eastAsia="仿宋_GB2312" w:cs="Times New Roman"/>
          <w:color w:val="000000" w:themeColor="text1"/>
          <w:sz w:val="32"/>
          <w:szCs w:val="36"/>
          <w:lang w:val="en-US" w:eastAsia="zh-CN"/>
          <w14:textFill>
            <w14:solidFill>
              <w14:schemeClr w14:val="tx1"/>
            </w14:solidFill>
          </w14:textFill>
        </w:rPr>
        <w:t>六</w:t>
      </w:r>
      <w:r>
        <w:rPr>
          <w:rFonts w:hint="default" w:ascii="Times New Roman" w:hAnsi="Times New Roman" w:eastAsia="仿宋_GB2312" w:cs="Times New Roman"/>
          <w:color w:val="000000" w:themeColor="text1"/>
          <w:sz w:val="32"/>
          <w:szCs w:val="36"/>
          <w:lang w:eastAsia="zh-CN"/>
          <w14:textFill>
            <w14:solidFill>
              <w14:schemeClr w14:val="tx1"/>
            </w14:solidFill>
          </w14:textFill>
        </w:rPr>
        <w:t>）存在其他违法违规行为的。</w:t>
      </w:r>
    </w:p>
    <w:p>
      <w:pPr>
        <w:widowControl/>
        <w:spacing w:line="600" w:lineRule="exact"/>
        <w:ind w:firstLine="640" w:firstLineChars="200"/>
        <w:rPr>
          <w:rFonts w:hint="eastAsia" w:ascii="Times New Roman" w:hAnsi="Times New Roman" w:eastAsia="仿宋_GB2312" w:cs="Times New Roman"/>
          <w:color w:val="000000" w:themeColor="text1"/>
          <w:sz w:val="32"/>
          <w:szCs w:val="36"/>
          <w:lang w:eastAsia="zh-CN"/>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第十一条</w:t>
      </w:r>
      <w:r>
        <w:rPr>
          <w:rFonts w:hint="default" w:ascii="Times New Roman" w:hAnsi="Times New Roman" w:eastAsia="仿宋_GB2312" w:cs="Times New Roman"/>
          <w:color w:val="000000" w:themeColor="text1"/>
          <w:sz w:val="32"/>
          <w:szCs w:val="36"/>
          <w14:textFill>
            <w14:solidFill>
              <w14:schemeClr w14:val="tx1"/>
            </w14:solidFill>
          </w14:textFill>
        </w:rPr>
        <w:t xml:space="preserve"> </w:t>
      </w:r>
      <w:r>
        <w:rPr>
          <w:rStyle w:val="21"/>
          <w:rFonts w:hint="default" w:ascii="Times New Roman" w:hAnsi="Times New Roman" w:cs="Times New Roman"/>
          <w:color w:val="000000" w:themeColor="text1"/>
          <w14:textFill>
            <w14:solidFill>
              <w14:schemeClr w14:val="tx1"/>
            </w14:solidFill>
          </w14:textFill>
        </w:rPr>
        <w:t>回避制度。与被考评的新型研发机构有直接利害关系的专家，应当申请回避。被考评新型研发机构也可以提出建议回避的专家名单，并说明理由。对违反回避制度要求的，按规定纳入科研违规失信行为记录</w:t>
      </w:r>
      <w:r>
        <w:rPr>
          <w:rStyle w:val="21"/>
          <w:rFonts w:hint="eastAsia" w:ascii="Times New Roman" w:hAnsi="Times New Roman" w:eastAsia="仿宋_GB2312" w:cs="Times New Roman"/>
          <w:color w:val="000000" w:themeColor="text1"/>
          <w:lang w:eastAsia="zh-CN"/>
          <w14:textFill>
            <w14:solidFill>
              <w14:schemeClr w14:val="tx1"/>
            </w14:solidFill>
          </w14:textFill>
        </w:rPr>
        <w:t>，</w:t>
      </w:r>
      <w:r>
        <w:rPr>
          <w:rStyle w:val="21"/>
          <w:rFonts w:hint="default" w:ascii="Times New Roman" w:hAnsi="Times New Roman" w:cs="Times New Roman"/>
          <w:color w:val="000000" w:themeColor="text1"/>
          <w14:textFill>
            <w14:solidFill>
              <w14:schemeClr w14:val="tx1"/>
            </w14:solidFill>
          </w14:textFill>
        </w:rPr>
        <w:t>有关专家按规定纳入科研违规失信行为记录</w:t>
      </w:r>
      <w:r>
        <w:rPr>
          <w:rStyle w:val="21"/>
          <w:rFonts w:hint="eastAsia" w:ascii="Times New Roman" w:hAnsi="Times New Roman" w:eastAsia="仿宋_GB2312" w:cs="Times New Roman"/>
          <w:color w:val="000000" w:themeColor="text1"/>
          <w:lang w:eastAsia="zh-CN"/>
          <w14:textFill>
            <w14:solidFill>
              <w14:schemeClr w14:val="tx1"/>
            </w14:solidFill>
          </w14:textFill>
        </w:rPr>
        <w:t>。</w:t>
      </w:r>
    </w:p>
    <w:p>
      <w:pPr>
        <w:widowControl/>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 xml:space="preserve">第十二条 </w:t>
      </w:r>
      <w:r>
        <w:rPr>
          <w:rFonts w:hint="default" w:ascii="Times New Roman" w:hAnsi="Times New Roman" w:eastAsia="仿宋_GB2312" w:cs="Times New Roman"/>
          <w:color w:val="000000" w:themeColor="text1"/>
          <w:sz w:val="32"/>
          <w:szCs w:val="36"/>
          <w14:textFill>
            <w14:solidFill>
              <w14:schemeClr w14:val="tx1"/>
            </w14:solidFill>
          </w14:textFill>
        </w:rPr>
        <w:t>绩效评估结果向社会公布，接受社会监督。</w:t>
      </w:r>
    </w:p>
    <w:p>
      <w:pPr>
        <w:spacing w:line="600" w:lineRule="exact"/>
        <w:rPr>
          <w:rFonts w:hint="default" w:ascii="Times New Roman" w:hAnsi="Times New Roman" w:eastAsia="仿宋_GB2312" w:cs="Times New Roman"/>
          <w:color w:val="000000" w:themeColor="text1"/>
          <w:sz w:val="32"/>
          <w:szCs w:val="36"/>
          <w14:textFill>
            <w14:solidFill>
              <w14:schemeClr w14:val="tx1"/>
            </w14:solidFill>
          </w14:textFill>
        </w:rPr>
      </w:pPr>
    </w:p>
    <w:p>
      <w:pPr>
        <w:spacing w:line="600" w:lineRule="exact"/>
        <w:ind w:firstLine="640" w:firstLineChars="200"/>
        <w:jc w:val="center"/>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第三章 结果与应用</w:t>
      </w:r>
    </w:p>
    <w:p>
      <w:pPr>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第十三条</w:t>
      </w:r>
      <w:r>
        <w:rPr>
          <w:rFonts w:hint="default" w:ascii="Times New Roman" w:hAnsi="Times New Roman" w:eastAsia="黑体" w:cs="Times New Roman"/>
          <w:color w:val="000000" w:themeColor="text1"/>
          <w:sz w:val="32"/>
          <w:szCs w:val="32"/>
          <w14:textFill>
            <w14:solidFill>
              <w14:schemeClr w14:val="tx1"/>
            </w14:solidFill>
          </w14:textFill>
        </w:rPr>
        <w:t xml:space="preserve"> </w:t>
      </w:r>
      <w:r>
        <w:rPr>
          <w:rFonts w:hint="default" w:ascii="Times New Roman" w:hAnsi="Times New Roman" w:eastAsia="仿宋_GB2312" w:cs="Times New Roman"/>
          <w:color w:val="000000" w:themeColor="text1"/>
          <w:sz w:val="32"/>
          <w:szCs w:val="36"/>
          <w14:textFill>
            <w14:solidFill>
              <w14:schemeClr w14:val="tx1"/>
            </w14:solidFill>
          </w14:textFill>
        </w:rPr>
        <w:t>评估结果为优秀、良好和合格的，继续获得备案资格；对绩效评估结果为优秀的，给予通报表扬。</w:t>
      </w:r>
    </w:p>
    <w:p>
      <w:pPr>
        <w:spacing w:line="600" w:lineRule="exact"/>
        <w:ind w:firstLine="640" w:firstLineChars="200"/>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第十四条</w:t>
      </w:r>
      <w:r>
        <w:rPr>
          <w:rFonts w:hint="default" w:ascii="Times New Roman" w:hAnsi="Times New Roman" w:eastAsia="仿宋_GB2312" w:cs="Times New Roman"/>
          <w:color w:val="000000" w:themeColor="text1"/>
          <w:sz w:val="32"/>
          <w:szCs w:val="36"/>
          <w14:textFill>
            <w14:solidFill>
              <w14:schemeClr w14:val="tx1"/>
            </w14:solidFill>
          </w14:textFill>
        </w:rPr>
        <w:t xml:space="preserve"> 评估结果为不合格的，备案资格失效，不再享受相关扶持政策，且3年内不得再次申请备案。</w:t>
      </w:r>
    </w:p>
    <w:p>
      <w:pPr>
        <w:spacing w:line="600" w:lineRule="exact"/>
        <w:ind w:firstLine="640" w:firstLineChars="200"/>
        <w:rPr>
          <w:rStyle w:val="21"/>
          <w:rFonts w:hint="default" w:ascii="Times New Roman" w:hAnsi="Times New Roman" w:cs="Times New Roman"/>
          <w:color w:val="000000" w:themeColor="text1"/>
          <w:szCs w:val="36"/>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第十五条</w:t>
      </w:r>
      <w:r>
        <w:rPr>
          <w:rFonts w:hint="default" w:ascii="Times New Roman" w:hAnsi="Times New Roman" w:eastAsia="仿宋_GB2312" w:cs="Times New Roman"/>
          <w:color w:val="000000" w:themeColor="text1"/>
          <w:sz w:val="32"/>
          <w:szCs w:val="36"/>
          <w14:textFill>
            <w14:solidFill>
              <w14:schemeClr w14:val="tx1"/>
            </w14:solidFill>
          </w14:textFill>
        </w:rPr>
        <w:t xml:space="preserve"> 科技厅（省委科技办）根据绩效评估结果，总结和推广优秀新型研发机构的经验，梳理存在的问题，提出改进措施，用以指导提高新型研发机构建设水平。</w:t>
      </w:r>
    </w:p>
    <w:p>
      <w:pPr>
        <w:spacing w:line="600" w:lineRule="exact"/>
        <w:rPr>
          <w:rStyle w:val="21"/>
          <w:rFonts w:hint="default" w:ascii="Times New Roman" w:hAnsi="Times New Roman" w:eastAsia="黑体" w:cs="Times New Roman"/>
          <w:color w:val="000000" w:themeColor="text1"/>
          <w14:textFill>
            <w14:solidFill>
              <w14:schemeClr w14:val="tx1"/>
            </w14:solidFill>
          </w14:textFill>
        </w:rPr>
      </w:pPr>
    </w:p>
    <w:p>
      <w:pPr>
        <w:spacing w:line="600" w:lineRule="exact"/>
        <w:jc w:val="center"/>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第四章 附  则</w:t>
      </w:r>
    </w:p>
    <w:p>
      <w:pPr>
        <w:spacing w:line="600" w:lineRule="exact"/>
        <w:ind w:firstLine="640" w:firstLineChars="200"/>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第十六条 </w:t>
      </w:r>
      <w:r>
        <w:rPr>
          <w:rStyle w:val="21"/>
          <w:rFonts w:hint="default" w:ascii="Times New Roman" w:hAnsi="Times New Roman" w:cs="Times New Roman"/>
          <w:color w:val="000000" w:themeColor="text1"/>
          <w14:textFill>
            <w14:solidFill>
              <w14:schemeClr w14:val="tx1"/>
            </w14:solidFill>
          </w14:textFill>
        </w:rPr>
        <w:t>本细则由省科技厅（省委科技办）负责解释。</w:t>
      </w:r>
    </w:p>
    <w:p>
      <w:pPr>
        <w:spacing w:line="600" w:lineRule="exact"/>
        <w:ind w:firstLine="640" w:firstLineChars="200"/>
        <w:rPr>
          <w:rStyle w:val="21"/>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 xml:space="preserve">第十七条 </w:t>
      </w:r>
      <w:r>
        <w:rPr>
          <w:rStyle w:val="21"/>
          <w:rFonts w:hint="default" w:ascii="Times New Roman" w:hAnsi="Times New Roman" w:cs="Times New Roman"/>
          <w:color w:val="000000" w:themeColor="text1"/>
          <w14:textFill>
            <w14:solidFill>
              <w14:schemeClr w14:val="tx1"/>
            </w14:solidFill>
          </w14:textFill>
        </w:rPr>
        <w:t>本细则自2024年</w:t>
      </w:r>
      <w:r>
        <w:rPr>
          <w:rStyle w:val="21"/>
          <w:rFonts w:hint="default" w:ascii="Times New Roman" w:hAnsi="Times New Roman" w:eastAsia="仿宋_GB2312" w:cs="Times New Roman"/>
          <w:color w:val="000000" w:themeColor="text1"/>
          <w:lang w:val="en-US" w:eastAsia="zh-CN"/>
          <w14:textFill>
            <w14:solidFill>
              <w14:schemeClr w14:val="tx1"/>
            </w14:solidFill>
          </w14:textFill>
        </w:rPr>
        <w:t>X</w:t>
      </w:r>
      <w:r>
        <w:rPr>
          <w:rStyle w:val="21"/>
          <w:rFonts w:hint="default" w:ascii="Times New Roman" w:hAnsi="Times New Roman" w:cs="Times New Roman"/>
          <w:color w:val="000000" w:themeColor="text1"/>
          <w14:textFill>
            <w14:solidFill>
              <w14:schemeClr w14:val="tx1"/>
            </w14:solidFill>
          </w14:textFill>
        </w:rPr>
        <w:t>月XX日起施行。</w:t>
      </w:r>
    </w:p>
    <w:p>
      <w:pPr>
        <w:spacing w:line="600" w:lineRule="exact"/>
        <w:ind w:firstLine="640" w:firstLineChars="200"/>
        <w:rPr>
          <w:rStyle w:val="21"/>
          <w:rFonts w:hint="default" w:ascii="Times New Roman" w:hAnsi="Times New Roman" w:cs="Times New Roman"/>
          <w:color w:val="000000" w:themeColor="text1"/>
          <w14:textFill>
            <w14:solidFill>
              <w14:schemeClr w14:val="tx1"/>
            </w14:solidFill>
          </w14:textFill>
        </w:rPr>
      </w:pPr>
    </w:p>
    <w:p>
      <w:pPr>
        <w:spacing w:line="600" w:lineRule="exact"/>
        <w:ind w:firstLine="640" w:firstLineChars="200"/>
        <w:rPr>
          <w:rStyle w:val="21"/>
          <w:rFonts w:hint="default" w:ascii="Times New Roman" w:hAnsi="Times New Roman" w:eastAsia="仿宋_GB2312" w:cs="Times New Roman"/>
          <w:color w:val="000000" w:themeColor="text1"/>
          <w:lang w:val="en-US" w:eastAsia="zh-CN"/>
          <w14:textFill>
            <w14:solidFill>
              <w14:schemeClr w14:val="tx1"/>
            </w14:solidFill>
          </w14:textFill>
        </w:rPr>
        <w:sectPr>
          <w:footerReference r:id="rId3" w:type="default"/>
          <w:pgSz w:w="11906" w:h="16838"/>
          <w:pgMar w:top="2098" w:right="1531" w:bottom="1814" w:left="1587" w:header="851" w:footer="992" w:gutter="0"/>
          <w:cols w:space="425" w:num="1"/>
          <w:docGrid w:type="lines" w:linePitch="312" w:charSpace="0"/>
        </w:sectPr>
      </w:pPr>
      <w:r>
        <w:rPr>
          <w:rStyle w:val="21"/>
          <w:rFonts w:hint="default" w:ascii="Times New Roman" w:hAnsi="Times New Roman" w:cs="Times New Roman"/>
          <w:color w:val="000000" w:themeColor="text1"/>
          <w14:textFill>
            <w14:solidFill>
              <w14:schemeClr w14:val="tx1"/>
            </w14:solidFill>
          </w14:textFill>
        </w:rPr>
        <w:t>附件：四川省新型研发机构绩效评估指标</w:t>
      </w:r>
      <w:r>
        <w:rPr>
          <w:rStyle w:val="21"/>
          <w:rFonts w:hint="default" w:ascii="Times New Roman" w:hAnsi="Times New Roman" w:eastAsia="仿宋_GB2312" w:cs="Times New Roman"/>
          <w:color w:val="000000" w:themeColor="text1"/>
          <w:lang w:val="en-US" w:eastAsia="zh-CN"/>
          <w14:textFill>
            <w14:solidFill>
              <w14:schemeClr w14:val="tx1"/>
            </w14:solidFill>
          </w14:textFill>
        </w:rPr>
        <w:t>体系</w:t>
      </w:r>
    </w:p>
    <w:p>
      <w:pPr>
        <w:rPr>
          <w:rFonts w:hint="default" w:ascii="Times New Roman" w:hAnsi="Times New Roman" w:eastAsia="黑体" w:cs="Times New Roman"/>
          <w:color w:val="000000" w:themeColor="text1"/>
          <w:sz w:val="32"/>
          <w:szCs w:val="36"/>
          <w14:textFill>
            <w14:solidFill>
              <w14:schemeClr w14:val="tx1"/>
            </w14:solidFill>
          </w14:textFill>
        </w:rPr>
      </w:pPr>
      <w:r>
        <w:rPr>
          <w:rFonts w:hint="default" w:ascii="Times New Roman" w:hAnsi="Times New Roman" w:eastAsia="黑体" w:cs="Times New Roman"/>
          <w:color w:val="000000" w:themeColor="text1"/>
          <w:sz w:val="32"/>
          <w:szCs w:val="36"/>
          <w14:textFill>
            <w14:solidFill>
              <w14:schemeClr w14:val="tx1"/>
            </w14:solidFill>
          </w14:textFill>
        </w:rPr>
        <w:t>附件</w:t>
      </w:r>
    </w:p>
    <w:p>
      <w:pPr>
        <w:jc w:val="center"/>
        <w:rPr>
          <w:rFonts w:hint="default" w:ascii="Times New Roman" w:hAnsi="Times New Roman" w:eastAsia="方正小标宋_GBK" w:cs="Times New Roman"/>
          <w:b/>
          <w:bCs/>
          <w:color w:val="000000" w:themeColor="text1"/>
          <w:kern w:val="0"/>
          <w:sz w:val="44"/>
          <w:szCs w:val="44"/>
          <w:lang w:val="en-US" w:eastAsia="zh-CN"/>
          <w14:textFill>
            <w14:solidFill>
              <w14:schemeClr w14:val="tx1"/>
            </w14:solidFill>
          </w14:textFill>
        </w:rPr>
      </w:pPr>
      <w:bookmarkStart w:id="4" w:name="OLE_LINK10"/>
      <w:r>
        <w:rPr>
          <w:rFonts w:hint="default" w:ascii="Times New Roman" w:hAnsi="Times New Roman" w:eastAsia="方正小标宋_GBK" w:cs="Times New Roman"/>
          <w:b/>
          <w:bCs/>
          <w:color w:val="000000" w:themeColor="text1"/>
          <w:kern w:val="0"/>
          <w:sz w:val="44"/>
          <w:szCs w:val="44"/>
          <w14:textFill>
            <w14:solidFill>
              <w14:schemeClr w14:val="tx1"/>
            </w14:solidFill>
          </w14:textFill>
        </w:rPr>
        <w:t>四川省新型研发机构绩效评估指标</w:t>
      </w:r>
      <w:r>
        <w:rPr>
          <w:rFonts w:hint="default" w:ascii="Times New Roman" w:hAnsi="Times New Roman" w:eastAsia="方正小标宋_GBK" w:cs="Times New Roman"/>
          <w:b/>
          <w:bCs/>
          <w:color w:val="000000" w:themeColor="text1"/>
          <w:kern w:val="0"/>
          <w:sz w:val="44"/>
          <w:szCs w:val="44"/>
          <w:lang w:val="en-US" w:eastAsia="zh-CN"/>
          <w14:textFill>
            <w14:solidFill>
              <w14:schemeClr w14:val="tx1"/>
            </w14:solidFill>
          </w14:textFill>
        </w:rPr>
        <w:t>体系</w:t>
      </w:r>
    </w:p>
    <w:tbl>
      <w:tblPr>
        <w:tblStyle w:val="12"/>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2551"/>
        <w:gridCol w:w="2437"/>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blHeader/>
          <w:jc w:val="center"/>
        </w:trPr>
        <w:tc>
          <w:tcPr>
            <w:tcW w:w="1786"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黑体" w:cs="Times New Roman"/>
                <w:color w:val="000000" w:themeColor="text1"/>
                <w:szCs w:val="21"/>
                <w:highlight w:val="none"/>
                <w14:textFill>
                  <w14:solidFill>
                    <w14:schemeClr w14:val="tx1"/>
                  </w14:solidFill>
                </w14:textFill>
              </w:rPr>
            </w:pPr>
            <w:r>
              <w:rPr>
                <w:rFonts w:hint="default" w:ascii="Times New Roman" w:hAnsi="Times New Roman" w:eastAsia="黑体" w:cs="Times New Roman"/>
                <w:color w:val="000000" w:themeColor="text1"/>
                <w:szCs w:val="21"/>
                <w:highlight w:val="none"/>
                <w14:textFill>
                  <w14:solidFill>
                    <w14:schemeClr w14:val="tx1"/>
                  </w14:solidFill>
                </w14:textFill>
              </w:rPr>
              <w:t>一级指标</w:t>
            </w:r>
          </w:p>
        </w:tc>
        <w:tc>
          <w:tcPr>
            <w:tcW w:w="255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黑体" w:cs="Times New Roman"/>
                <w:color w:val="000000" w:themeColor="text1"/>
                <w:szCs w:val="21"/>
                <w:highlight w:val="none"/>
                <w14:textFill>
                  <w14:solidFill>
                    <w14:schemeClr w14:val="tx1"/>
                  </w14:solidFill>
                </w14:textFill>
              </w:rPr>
            </w:pPr>
            <w:r>
              <w:rPr>
                <w:rFonts w:hint="default" w:ascii="Times New Roman" w:hAnsi="Times New Roman" w:eastAsia="黑体" w:cs="Times New Roman"/>
                <w:color w:val="000000" w:themeColor="text1"/>
                <w:szCs w:val="21"/>
                <w:highlight w:val="none"/>
                <w14:textFill>
                  <w14:solidFill>
                    <w14:schemeClr w14:val="tx1"/>
                  </w14:solidFill>
                </w14:textFill>
              </w:rPr>
              <w:t>二级指标</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黑体" w:cs="Times New Roman"/>
                <w:color w:val="000000" w:themeColor="text1"/>
                <w:szCs w:val="21"/>
                <w:highlight w:val="none"/>
                <w14:textFill>
                  <w14:solidFill>
                    <w14:schemeClr w14:val="tx1"/>
                  </w14:solidFill>
                </w14:textFill>
              </w:rPr>
            </w:pPr>
            <w:r>
              <w:rPr>
                <w:rFonts w:hint="default" w:ascii="Times New Roman" w:hAnsi="Times New Roman" w:eastAsia="黑体" w:cs="Times New Roman"/>
                <w:color w:val="000000" w:themeColor="text1"/>
                <w:szCs w:val="21"/>
                <w:highlight w:val="none"/>
                <w14:textFill>
                  <w14:solidFill>
                    <w14:schemeClr w14:val="tx1"/>
                  </w14:solidFill>
                </w14:textFill>
              </w:rPr>
              <w:t>三级指标</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黑体" w:cs="Times New Roman"/>
                <w:color w:val="000000" w:themeColor="text1"/>
                <w:szCs w:val="21"/>
                <w:highlight w:val="none"/>
                <w14:textFill>
                  <w14:solidFill>
                    <w14:schemeClr w14:val="tx1"/>
                  </w14:solidFill>
                </w14:textFill>
              </w:rPr>
            </w:pPr>
            <w:r>
              <w:rPr>
                <w:rFonts w:hint="default" w:ascii="Times New Roman" w:hAnsi="Times New Roman" w:eastAsia="黑体" w:cs="Times New Roman"/>
                <w:color w:val="000000" w:themeColor="text1"/>
                <w:szCs w:val="21"/>
                <w:highlight w:val="none"/>
                <w:lang w:eastAsia="zh-CN"/>
                <w14:textFill>
                  <w14:solidFill>
                    <w14:schemeClr w14:val="tx1"/>
                  </w14:solidFill>
                </w14:textFill>
              </w:rPr>
              <w:t>总</w:t>
            </w:r>
            <w:r>
              <w:rPr>
                <w:rFonts w:hint="default" w:ascii="Times New Roman" w:hAnsi="Times New Roman" w:eastAsia="黑体" w:cs="Times New Roman"/>
                <w:color w:val="000000" w:themeColor="text1"/>
                <w:szCs w:val="21"/>
                <w:highlight w:val="none"/>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786"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1.基础指标</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（70分）</w:t>
            </w:r>
          </w:p>
        </w:tc>
        <w:tc>
          <w:tcPr>
            <w:tcW w:w="255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1.基础能力</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1.科研条件。机构拥有</w:t>
            </w:r>
            <w:r>
              <w:rPr>
                <w:rFonts w:ascii="Times New Roman" w:hAnsi="Times New Roman" w:eastAsia="仿宋_GB2312" w:cs="Times New Roman"/>
                <w:color w:val="000000" w:themeColor="text1"/>
                <w:szCs w:val="21"/>
                <w:highlight w:val="none"/>
                <w14:textFill>
                  <w14:solidFill>
                    <w14:schemeClr w14:val="tx1"/>
                  </w14:solidFill>
                </w14:textFill>
              </w:rPr>
              <w:t>专门用于科学研究的</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场地</w:t>
            </w:r>
            <w:r>
              <w:rPr>
                <w:rFonts w:ascii="Times New Roman" w:hAnsi="Times New Roman" w:eastAsia="仿宋_GB2312" w:cs="Times New Roman"/>
                <w:color w:val="000000" w:themeColor="text1"/>
                <w:szCs w:val="21"/>
                <w:highlight w:val="none"/>
                <w14:textFill>
                  <w14:solidFill>
                    <w14:schemeClr w14:val="tx1"/>
                  </w14:solidFill>
                </w14:textFill>
              </w:rPr>
              <w:t>面积</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szCs w:val="21"/>
                <w:highlight w:val="none"/>
                <w14:textFill>
                  <w14:solidFill>
                    <w14:schemeClr w14:val="tx1"/>
                  </w14:solidFill>
                </w14:textFill>
              </w:rPr>
              <w:t>科研仪器设备</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情况</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2.人才聚集</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2.研发人员占比。硕士学历或中级职称以上研发人员占全部研发人员比重</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3.人才培养。引育高层次人才数（</w:t>
            </w:r>
            <w:r>
              <w:rPr>
                <w:rFonts w:hint="eastAsia" w:ascii="Times New Roman" w:hAnsi="Times New Roman" w:eastAsia="仿宋_GB2312" w:cs="Times New Roman"/>
                <w:color w:val="000000" w:themeColor="text1"/>
                <w:szCs w:val="21"/>
                <w:highlight w:val="none"/>
                <w14:textFill>
                  <w14:solidFill>
                    <w14:schemeClr w14:val="tx1"/>
                  </w14:solidFill>
                </w14:textFill>
              </w:rPr>
              <w:t>国家级</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省部级</w:t>
            </w:r>
            <w:r>
              <w:rPr>
                <w:rFonts w:hint="eastAsia" w:ascii="Times New Roman" w:hAnsi="Times New Roman" w:eastAsia="仿宋_GB2312" w:cs="Times New Roman"/>
                <w:color w:val="000000" w:themeColor="text1"/>
                <w:szCs w:val="21"/>
                <w:highlight w:val="none"/>
                <w14:textFill>
                  <w14:solidFill>
                    <w14:schemeClr w14:val="tx1"/>
                  </w14:solidFill>
                </w14:textFill>
              </w:rPr>
              <w:t>人才</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计划入选）</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和</w:t>
            </w:r>
            <w:r>
              <w:rPr>
                <w:rFonts w:hint="eastAsia" w:ascii="Times New Roman" w:hAnsi="Times New Roman" w:eastAsia="仿宋_GB2312" w:cs="Times New Roman"/>
                <w:color w:val="000000" w:themeColor="text1"/>
                <w:szCs w:val="21"/>
                <w:highlight w:val="none"/>
                <w14:textFill>
                  <w14:solidFill>
                    <w14:schemeClr w14:val="tx1"/>
                  </w14:solidFill>
                </w14:textFill>
              </w:rPr>
              <w:t>创新团队数</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博士后出站数、研究生毕业数</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3.创新活动</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4.科研项目。人均年末</w:t>
            </w:r>
            <w:r>
              <w:rPr>
                <w:rFonts w:ascii="Times New Roman" w:hAnsi="Times New Roman" w:eastAsia="仿宋_GB2312" w:cs="Times New Roman"/>
                <w:color w:val="000000" w:themeColor="text1"/>
                <w:szCs w:val="21"/>
                <w:highlight w:val="none"/>
                <w14:textFill>
                  <w14:solidFill>
                    <w14:schemeClr w14:val="tx1"/>
                  </w14:solidFill>
                </w14:textFill>
              </w:rPr>
              <w:t>承担的</w:t>
            </w:r>
            <w:r>
              <w:rPr>
                <w:rFonts w:hint="eastAsia" w:ascii="Times New Roman" w:hAnsi="Times New Roman" w:eastAsia="仿宋_GB2312" w:cs="Times New Roman"/>
                <w:color w:val="000000" w:themeColor="text1"/>
                <w:szCs w:val="21"/>
                <w:highlight w:val="none"/>
                <w14:textFill>
                  <w14:solidFill>
                    <w14:schemeClr w14:val="tx1"/>
                  </w14:solidFill>
                </w14:textFill>
              </w:rPr>
              <w:t>国家级、省部级、市厅级（包括横向）</w:t>
            </w:r>
            <w:r>
              <w:rPr>
                <w:rFonts w:ascii="Times New Roman" w:hAnsi="Times New Roman" w:eastAsia="仿宋_GB2312" w:cs="Times New Roman"/>
                <w:color w:val="000000" w:themeColor="text1"/>
                <w:szCs w:val="21"/>
                <w:highlight w:val="none"/>
                <w14:textFill>
                  <w14:solidFill>
                    <w14:schemeClr w14:val="tx1"/>
                  </w14:solidFill>
                </w14:textFill>
              </w:rPr>
              <w:t>等科研项目的</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数量、</w:t>
            </w:r>
            <w:r>
              <w:rPr>
                <w:rFonts w:hint="eastAsia" w:ascii="Times New Roman" w:hAnsi="Times New Roman" w:eastAsia="仿宋_GB2312" w:cs="Times New Roman"/>
                <w:color w:val="000000" w:themeColor="text1"/>
                <w:szCs w:val="21"/>
                <w:highlight w:val="none"/>
                <w14:textFill>
                  <w14:solidFill>
                    <w14:schemeClr w14:val="tx1"/>
                  </w14:solidFill>
                </w14:textFill>
              </w:rPr>
              <w:t>金额</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5.</w:t>
            </w:r>
            <w:r>
              <w:rPr>
                <w:rFonts w:hint="eastAsia" w:ascii="Times New Roman" w:hAnsi="Times New Roman" w:eastAsia="仿宋_GB2312" w:cs="Times New Roman"/>
                <w:color w:val="000000" w:themeColor="text1"/>
                <w:szCs w:val="21"/>
                <w:highlight w:val="none"/>
                <w14:textFill>
                  <w14:solidFill>
                    <w14:schemeClr w14:val="tx1"/>
                  </w14:solidFill>
                </w14:textFill>
              </w:rPr>
              <w:t>R&amp;D经费投入</w:t>
            </w:r>
            <w:r>
              <w:rPr>
                <w:rFonts w:ascii="Times New Roman" w:hAnsi="Times New Roman" w:eastAsia="仿宋_GB2312" w:cs="Times New Roman"/>
                <w:color w:val="000000" w:themeColor="text1"/>
                <w:szCs w:val="21"/>
                <w:highlight w:val="none"/>
                <w14:textFill>
                  <w14:solidFill>
                    <w14:schemeClr w14:val="tx1"/>
                  </w14:solidFill>
                </w14:textFill>
              </w:rPr>
              <w:t>占</w:t>
            </w:r>
            <w:r>
              <w:rPr>
                <w:rFonts w:hint="eastAsia" w:ascii="Times New Roman" w:hAnsi="Times New Roman" w:eastAsia="仿宋_GB2312" w:cs="Times New Roman"/>
                <w:color w:val="000000" w:themeColor="text1"/>
                <w:szCs w:val="21"/>
                <w:highlight w:val="none"/>
                <w14:textFill>
                  <w14:solidFill>
                    <w14:schemeClr w14:val="tx1"/>
                  </w14:solidFill>
                </w14:textFill>
              </w:rPr>
              <w:t>机构总收入比重</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4.创新产出</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6.知识产权。</w:t>
            </w:r>
            <w:r>
              <w:rPr>
                <w:rFonts w:hint="eastAsia" w:ascii="Times New Roman" w:hAnsi="Times New Roman" w:eastAsia="仿宋_GB2312" w:cs="Times New Roman"/>
                <w:color w:val="000000" w:themeColor="text1"/>
                <w:szCs w:val="21"/>
                <w:highlight w:val="none"/>
                <w14:textFill>
                  <w14:solidFill>
                    <w14:schemeClr w14:val="tx1"/>
                  </w14:solidFill>
                </w14:textFill>
              </w:rPr>
              <w:t>获得</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一</w:t>
            </w:r>
            <w:r>
              <w:rPr>
                <w:rFonts w:ascii="Times New Roman" w:hAnsi="Times New Roman" w:eastAsia="仿宋_GB2312" w:cs="Times New Roman"/>
                <w:color w:val="000000" w:themeColor="text1"/>
                <w:szCs w:val="21"/>
                <w:highlight w:val="none"/>
                <w14:textFill>
                  <w14:solidFill>
                    <w14:schemeClr w14:val="tx1"/>
                  </w14:solidFill>
                </w14:textFill>
              </w:rPr>
              <w:t>类知识产权</w:t>
            </w:r>
            <w:r>
              <w:rPr>
                <w:rFonts w:hint="eastAsia" w:ascii="Times New Roman" w:hAnsi="Times New Roman" w:eastAsia="仿宋_GB2312" w:cs="Times New Roman"/>
                <w:color w:val="000000" w:themeColor="text1"/>
                <w:szCs w:val="21"/>
                <w:highlight w:val="none"/>
                <w14:textFill>
                  <w14:solidFill>
                    <w14:schemeClr w14:val="tx1"/>
                  </w14:solidFill>
                </w14:textFill>
              </w:rPr>
              <w:t>数（包括发明专利、植物新品种、国家级农作物品种、国家新药、国家一级中药保护品种和集成电路布图设计专有权等）</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，获得二</w:t>
            </w:r>
            <w:r>
              <w:rPr>
                <w:rFonts w:ascii="Times New Roman" w:hAnsi="Times New Roman" w:eastAsia="仿宋_GB2312" w:cs="Times New Roman"/>
                <w:color w:val="000000" w:themeColor="text1"/>
                <w:szCs w:val="21"/>
                <w:highlight w:val="none"/>
                <w14:textFill>
                  <w14:solidFill>
                    <w14:schemeClr w14:val="tx1"/>
                  </w14:solidFill>
                </w14:textFill>
              </w:rPr>
              <w:t>类知识产权</w:t>
            </w:r>
            <w:r>
              <w:rPr>
                <w:rFonts w:hint="eastAsia" w:ascii="Times New Roman" w:hAnsi="Times New Roman" w:eastAsia="仿宋_GB2312" w:cs="Times New Roman"/>
                <w:color w:val="000000" w:themeColor="text1"/>
                <w:szCs w:val="21"/>
                <w:highlight w:val="none"/>
                <w14:textFill>
                  <w14:solidFill>
                    <w14:schemeClr w14:val="tx1"/>
                  </w14:solidFill>
                </w14:textFill>
              </w:rPr>
              <w:t>数</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（包括实用新型</w:t>
            </w:r>
            <w:r>
              <w:rPr>
                <w:rFonts w:hint="eastAsia" w:ascii="Times New Roman" w:hAnsi="Times New Roman" w:eastAsia="仿宋_GB2312" w:cs="Times New Roman"/>
                <w:color w:val="000000" w:themeColor="text1"/>
                <w:szCs w:val="21"/>
                <w:highlight w:val="none"/>
                <w14:textFill>
                  <w14:solidFill>
                    <w14:schemeClr w14:val="tx1"/>
                  </w14:solidFill>
                </w14:textFill>
              </w:rPr>
              <w:t>、</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软件著作权）</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1</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7.标准。</w:t>
            </w:r>
            <w:r>
              <w:rPr>
                <w:rFonts w:hint="eastAsia" w:ascii="Times New Roman" w:hAnsi="Times New Roman" w:eastAsia="仿宋_GB2312" w:cs="Times New Roman"/>
                <w:color w:val="000000" w:themeColor="text1"/>
                <w:szCs w:val="21"/>
                <w:highlight w:val="none"/>
                <w14:textFill>
                  <w14:solidFill>
                    <w14:schemeClr w14:val="tx1"/>
                  </w14:solidFill>
                </w14:textFill>
              </w:rPr>
              <w:t>制定/修订</w:t>
            </w:r>
            <w:r>
              <w:rPr>
                <w:rFonts w:ascii="Times New Roman" w:hAnsi="Times New Roman" w:eastAsia="仿宋_GB2312" w:cs="Times New Roman"/>
                <w:color w:val="000000" w:themeColor="text1"/>
                <w:szCs w:val="21"/>
                <w:highlight w:val="none"/>
                <w14:textFill>
                  <w14:solidFill>
                    <w14:schemeClr w14:val="tx1"/>
                  </w14:solidFill>
                </w14:textFill>
              </w:rPr>
              <w:t>国家、行业、地方标准数</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43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8.科技奖励。</w:t>
            </w:r>
            <w:r>
              <w:rPr>
                <w:rFonts w:hint="eastAsia" w:ascii="Times New Roman" w:hAnsi="Times New Roman" w:eastAsia="仿宋_GB2312" w:cs="Times New Roman"/>
                <w:color w:val="000000" w:themeColor="text1"/>
                <w:szCs w:val="21"/>
                <w:highlight w:val="none"/>
                <w14:textFill>
                  <w14:solidFill>
                    <w14:schemeClr w14:val="tx1"/>
                  </w14:solidFill>
                </w14:textFill>
              </w:rPr>
              <w:t>获得省部及以上级科技奖励</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数量</w:t>
            </w:r>
          </w:p>
        </w:tc>
        <w:tc>
          <w:tcPr>
            <w:tcW w:w="220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786"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2.特色指标</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（30分）</w:t>
            </w:r>
          </w:p>
        </w:tc>
        <w:tc>
          <w:tcPr>
            <w:tcW w:w="2551"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5.科学研究</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9.原始创新能力。</w:t>
            </w:r>
            <w:r>
              <w:rPr>
                <w:rFonts w:hint="eastAsia" w:ascii="Times New Roman" w:hAnsi="Times New Roman" w:eastAsia="仿宋_GB2312" w:cs="Times New Roman"/>
                <w:color w:val="000000" w:themeColor="text1"/>
                <w:szCs w:val="21"/>
                <w:highlight w:val="none"/>
                <w14:textFill>
                  <w14:solidFill>
                    <w14:schemeClr w14:val="tx1"/>
                  </w14:solidFill>
                </w14:textFill>
              </w:rPr>
              <w:t>针对我省经济社会发展的重大科学问题，持续开展系统研究，在原理、方法和技术方面取得的新突破新进展，</w:t>
            </w:r>
            <w:r>
              <w:rPr>
                <w:rFonts w:ascii="Times New Roman" w:hAnsi="Times New Roman" w:eastAsia="仿宋_GB2312" w:cs="Times New Roman"/>
                <w:color w:val="000000" w:themeColor="text1"/>
                <w:szCs w:val="21"/>
                <w:highlight w:val="none"/>
                <w14:textFill>
                  <w14:solidFill>
                    <w14:schemeClr w14:val="tx1"/>
                  </w14:solidFill>
                </w14:textFill>
              </w:rPr>
              <w:t>为产业、企业解决技术理论难题</w:t>
            </w:r>
            <w:r>
              <w:rPr>
                <w:rFonts w:hint="eastAsia" w:ascii="Times New Roman" w:hAnsi="Times New Roman" w:eastAsia="仿宋_GB2312" w:cs="Times New Roman"/>
                <w:color w:val="000000" w:themeColor="text1"/>
                <w:szCs w:val="21"/>
                <w:highlight w:val="none"/>
                <w14:textFill>
                  <w14:solidFill>
                    <w14:schemeClr w14:val="tx1"/>
                  </w14:solidFill>
                </w14:textFill>
              </w:rPr>
              <w:t>，</w:t>
            </w:r>
            <w:r>
              <w:rPr>
                <w:rFonts w:ascii="Times New Roman" w:hAnsi="Times New Roman" w:eastAsia="仿宋_GB2312" w:cs="Times New Roman"/>
                <w:color w:val="000000" w:themeColor="text1"/>
                <w:szCs w:val="21"/>
                <w:highlight w:val="none"/>
                <w14:textFill>
                  <w14:solidFill>
                    <w14:schemeClr w14:val="tx1"/>
                  </w14:solidFill>
                </w14:textFill>
              </w:rPr>
              <w:t>获得同行认可、有重大影响的科研成果</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数，</w:t>
            </w:r>
            <w:r>
              <w:rPr>
                <w:rFonts w:hint="eastAsia" w:ascii="Times New Roman" w:hAnsi="Times New Roman" w:eastAsia="仿宋_GB2312" w:cs="Times New Roman"/>
                <w:color w:val="000000" w:themeColor="text1"/>
                <w:szCs w:val="21"/>
                <w:highlight w:val="none"/>
                <w14:textFill>
                  <w14:solidFill>
                    <w14:schemeClr w14:val="tx1"/>
                  </w14:solidFill>
                </w14:textFill>
              </w:rPr>
              <w:t>年内</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在</w:t>
            </w:r>
            <w:r>
              <w:rPr>
                <w:rFonts w:hint="eastAsia" w:ascii="Times New Roman" w:hAnsi="Times New Roman" w:eastAsia="仿宋_GB2312" w:cs="Times New Roman"/>
                <w:color w:val="000000" w:themeColor="text1"/>
                <w:szCs w:val="21"/>
                <w:highlight w:val="none"/>
                <w14:textFill>
                  <w14:solidFill>
                    <w14:schemeClr w14:val="tx1"/>
                  </w14:solidFill>
                </w14:textFill>
              </w:rPr>
              <w:t>Science、Nature等</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高水平期刊发表论文数。</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43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10.学术影响力。领域内国际或国家学术组织任职、国际期刊任职及国际重要学术会议特邀报告情况</w:t>
            </w:r>
          </w:p>
        </w:tc>
        <w:tc>
          <w:tcPr>
            <w:tcW w:w="220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6.技术创新</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11.关键核心技术突破。</w:t>
            </w:r>
            <w:r>
              <w:rPr>
                <w:rFonts w:hint="eastAsia" w:ascii="Times New Roman" w:hAnsi="Times New Roman" w:eastAsia="仿宋_GB2312" w:cs="Times New Roman"/>
                <w:color w:val="000000" w:themeColor="text1"/>
                <w:szCs w:val="21"/>
                <w:highlight w:val="none"/>
                <w14:textFill>
                  <w14:solidFill>
                    <w14:schemeClr w14:val="tx1"/>
                  </w14:solidFill>
                </w14:textFill>
              </w:rPr>
              <w:t>解决产业重大</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关键</w:t>
            </w:r>
            <w:r>
              <w:rPr>
                <w:rFonts w:hint="eastAsia" w:ascii="Times New Roman" w:hAnsi="Times New Roman" w:eastAsia="仿宋_GB2312" w:cs="Times New Roman"/>
                <w:color w:val="000000" w:themeColor="text1"/>
                <w:szCs w:val="21"/>
                <w:highlight w:val="none"/>
                <w14:textFill>
                  <w14:solidFill>
                    <w14:schemeClr w14:val="tx1"/>
                  </w14:solidFill>
                </w14:textFill>
              </w:rPr>
              <w:t>共性技术问题</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Cs w:val="21"/>
                <w:highlight w:val="none"/>
                <w14:textFill>
                  <w14:solidFill>
                    <w14:schemeClr w14:val="tx1"/>
                  </w14:solidFill>
                </w14:textFill>
              </w:rPr>
              <w:t>企业应用成效明显</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研制一批标志性产品</w:t>
            </w:r>
            <w:r>
              <w:rPr>
                <w:rFonts w:hint="eastAsia" w:ascii="Times New Roman" w:hAnsi="Times New Roman" w:eastAsia="仿宋_GB2312" w:cs="Times New Roman"/>
                <w:color w:val="000000" w:themeColor="text1"/>
                <w:szCs w:val="21"/>
                <w:highlight w:val="none"/>
                <w:lang w:eastAsia="zh-CN"/>
                <w14:textFill>
                  <w14:solidFill>
                    <w14:schemeClr w14:val="tx1"/>
                  </w14:solidFill>
                </w14:textFill>
              </w:rPr>
              <w:t>。</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43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12.技术服务效益。技术性收入占总收入的比重</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7.成果转化</w:t>
            </w: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lang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13.成果转化效益。</w:t>
            </w: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指机构依托自有产权的科技成果以投资转化、成果转让、成果许可、共同转化、作价入股等方式获得的科技成果转化收入，以</w:t>
            </w: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评估期内</w:t>
            </w: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实际到账金额为准。</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786"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551"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p>
        </w:tc>
        <w:tc>
          <w:tcPr>
            <w:tcW w:w="243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Cs w:val="21"/>
                <w:highlight w:val="none"/>
                <w:lang w:val="en-US" w:eastAsia="zh-CN"/>
                <w14:textFill>
                  <w14:solidFill>
                    <w14:schemeClr w14:val="tx1"/>
                  </w14:solidFill>
                </w14:textFill>
              </w:rPr>
              <w:t>14.企业孵化与产业服务成效。创办孵化企业数量，引进或设立产业投资资（基）金投资规模，组织成果转化对接活动等</w:t>
            </w: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w:t>
            </w:r>
          </w:p>
        </w:tc>
        <w:tc>
          <w:tcPr>
            <w:tcW w:w="220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15</w:t>
            </w:r>
          </w:p>
        </w:tc>
      </w:tr>
    </w:tbl>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仿宋_GB2312" w:cs="Times New Roman"/>
          <w:color w:val="000000" w:themeColor="text1"/>
          <w:szCs w:val="21"/>
          <w:highlight w:val="none"/>
          <w:lang w:eastAsia="zh-CN"/>
          <w14:textFill>
            <w14:solidFill>
              <w14:schemeClr w14:val="tx1"/>
            </w14:solidFill>
          </w14:textFill>
        </w:rPr>
      </w:pPr>
      <w:r>
        <w:rPr>
          <w:rFonts w:hint="default" w:ascii="Times New Roman" w:hAnsi="Times New Roman" w:eastAsia="仿宋_GB2312" w:cs="Times New Roman"/>
          <w:color w:val="000000" w:themeColor="text1"/>
          <w:szCs w:val="21"/>
          <w:highlight w:val="none"/>
          <w14:textFill>
            <w14:solidFill>
              <w14:schemeClr w14:val="tx1"/>
            </w14:solidFill>
          </w14:textFill>
        </w:rPr>
        <w:t>注：1.</w:t>
      </w:r>
      <w:r>
        <w:rPr>
          <w:rFonts w:hint="default" w:ascii="Times New Roman" w:hAnsi="Times New Roman" w:eastAsia="仿宋_GB2312" w:cs="Times New Roman"/>
          <w:color w:val="000000" w:themeColor="text1"/>
          <w:szCs w:val="21"/>
          <w:highlight w:val="none"/>
          <w:lang w:eastAsia="zh-CN"/>
          <w14:textFill>
            <w14:solidFill>
              <w14:schemeClr w14:val="tx1"/>
            </w14:solidFill>
          </w14:textFill>
        </w:rPr>
        <w:t>两年为一个评估周期，评估指标涉及有关数据应是评估周期内数据。</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仿宋_GB2312" w:cs="Times New Roman"/>
          <w:color w:val="000000" w:themeColor="text1"/>
          <w:szCs w:val="21"/>
          <w:highlight w:val="none"/>
          <w14:textFill>
            <w14:solidFill>
              <w14:schemeClr w14:val="tx1"/>
            </w14:solidFill>
          </w14:textFill>
        </w:rPr>
      </w:pPr>
      <w:r>
        <w:rPr>
          <w:rFonts w:hint="default" w:ascii="Times New Roman" w:hAnsi="Times New Roman" w:eastAsia="仿宋_GB2312" w:cs="Times New Roman"/>
          <w:color w:val="000000" w:themeColor="text1"/>
          <w:szCs w:val="21"/>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Cs w:val="21"/>
          <w:highlight w:val="none"/>
          <w14:textFill>
            <w14:solidFill>
              <w14:schemeClr w14:val="tx1"/>
            </w14:solidFill>
          </w14:textFill>
        </w:rPr>
        <w:t>.科学研究、技术创新和成果转化三个方面各30分，各新型研发机构结合自身发展实际，选择1-2个方向参与绩效评估</w:t>
      </w:r>
      <w:bookmarkStart w:id="5" w:name="OLE_LINK20"/>
      <w:r>
        <w:rPr>
          <w:rFonts w:hint="default" w:ascii="Times New Roman" w:hAnsi="Times New Roman" w:eastAsia="仿宋_GB2312" w:cs="Times New Roman"/>
          <w:color w:val="000000" w:themeColor="text1"/>
          <w:szCs w:val="21"/>
          <w:highlight w:val="none"/>
          <w14:textFill>
            <w14:solidFill>
              <w14:schemeClr w14:val="tx1"/>
            </w14:solidFill>
          </w14:textFill>
        </w:rPr>
        <w:t>，以评分</w:t>
      </w:r>
      <w:bookmarkStart w:id="6" w:name="OLE_LINK19"/>
      <w:r>
        <w:rPr>
          <w:rFonts w:hint="default" w:ascii="Times New Roman" w:hAnsi="Times New Roman" w:eastAsia="仿宋_GB2312" w:cs="Times New Roman"/>
          <w:color w:val="000000" w:themeColor="text1"/>
          <w:szCs w:val="21"/>
          <w:highlight w:val="none"/>
          <w14:textFill>
            <w14:solidFill>
              <w14:schemeClr w14:val="tx1"/>
            </w14:solidFill>
          </w14:textFill>
        </w:rPr>
        <w:t>最高的为最终得分</w:t>
      </w:r>
      <w:bookmarkEnd w:id="6"/>
      <w:r>
        <w:rPr>
          <w:rFonts w:hint="default" w:ascii="Times New Roman" w:hAnsi="Times New Roman" w:eastAsia="仿宋_GB2312" w:cs="Times New Roman"/>
          <w:color w:val="000000" w:themeColor="text1"/>
          <w:szCs w:val="21"/>
          <w:highlight w:val="none"/>
          <w14:textFill>
            <w14:solidFill>
              <w14:schemeClr w14:val="tx1"/>
            </w14:solidFill>
          </w14:textFill>
        </w:rPr>
        <w:t>。</w:t>
      </w:r>
    </w:p>
    <w:bookmarkEnd w:id="5"/>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仿宋_GB2312" w:cs="Times New Roman"/>
          <w:color w:val="000000" w:themeColor="text1"/>
          <w:kern w:val="0"/>
          <w:szCs w:val="21"/>
          <w:highlight w:val="none"/>
          <w14:textFill>
            <w14:solidFill>
              <w14:schemeClr w14:val="tx1"/>
            </w14:solidFill>
          </w14:textFill>
        </w:rPr>
      </w:pPr>
      <w:r>
        <w:rPr>
          <w:rFonts w:hint="default" w:ascii="Times New Roman" w:hAnsi="Times New Roman" w:eastAsia="仿宋_GB2312" w:cs="Times New Roman"/>
          <w:color w:val="000000" w:themeColor="text1"/>
          <w:kern w:val="0"/>
          <w:szCs w:val="21"/>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.评估结果分为优秀、良好、合格和不合格四类，其中分值在80-100分为优秀，70-80（不含）分为良好，60-70（不含）分为</w:t>
      </w:r>
      <w:r>
        <w:rPr>
          <w:rFonts w:hint="default" w:ascii="Times New Roman" w:hAnsi="Times New Roman" w:eastAsia="仿宋_GB2312" w:cs="Times New Roman"/>
          <w:color w:val="000000" w:themeColor="text1"/>
          <w:kern w:val="0"/>
          <w:szCs w:val="21"/>
          <w:highlight w:val="none"/>
          <w:lang w:val="en-US" w:eastAsia="zh-CN"/>
          <w14:textFill>
            <w14:solidFill>
              <w14:schemeClr w14:val="tx1"/>
            </w14:solidFill>
          </w14:textFill>
        </w:rPr>
        <w:t>合</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格，60分以下为不</w:t>
      </w:r>
      <w:r>
        <w:rPr>
          <w:rFonts w:hint="default" w:ascii="Times New Roman" w:hAnsi="Times New Roman" w:eastAsia="仿宋_GB2312" w:cs="Times New Roman"/>
          <w:color w:val="000000" w:themeColor="text1"/>
          <w:kern w:val="0"/>
          <w:szCs w:val="21"/>
          <w:highlight w:val="none"/>
          <w:lang w:val="en-US" w:eastAsia="zh-CN"/>
          <w14:textFill>
            <w14:solidFill>
              <w14:schemeClr w14:val="tx1"/>
            </w14:solidFill>
          </w14:textFill>
        </w:rPr>
        <w:t>合</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格。</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方正小标宋_GBK" w:cs="Times New Roman"/>
          <w:b/>
          <w:bCs/>
          <w:color w:val="000000" w:themeColor="text1"/>
          <w:kern w:val="0"/>
          <w:sz w:val="44"/>
          <w:szCs w:val="44"/>
          <w14:textFill>
            <w14:solidFill>
              <w14:schemeClr w14:val="tx1"/>
            </w14:solidFill>
          </w14:textFill>
        </w:rPr>
      </w:pPr>
      <w:r>
        <w:rPr>
          <w:rFonts w:hint="default" w:ascii="Times New Roman" w:hAnsi="Times New Roman" w:eastAsia="仿宋_GB2312" w:cs="Times New Roman"/>
          <w:color w:val="000000" w:themeColor="text1"/>
          <w:kern w:val="0"/>
          <w:szCs w:val="21"/>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w:t>
      </w:r>
      <w:r>
        <w:rPr>
          <w:rFonts w:hint="default" w:ascii="Times New Roman" w:hAnsi="Times New Roman" w:eastAsia="仿宋_GB2312" w:cs="Times New Roman"/>
          <w:color w:val="000000" w:themeColor="text1"/>
          <w:kern w:val="0"/>
          <w:szCs w:val="21"/>
          <w:highlight w:val="none"/>
          <w:lang w:eastAsia="zh-CN"/>
          <w14:textFill>
            <w14:solidFill>
              <w14:schemeClr w14:val="tx1"/>
            </w14:solidFill>
          </w14:textFill>
        </w:rPr>
        <w:t>评估周</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期存在下列情况之一的，直接认定为不合格：①机构因严重违背科研诚信、科技伦理和其他严重失信行为被纳入</w:t>
      </w:r>
      <w:r>
        <w:rPr>
          <w:rFonts w:hint="eastAsia" w:ascii="Times New Roman" w:hAnsi="Times New Roman" w:eastAsia="仿宋_GB2312" w:cs="Times New Roman"/>
          <w:color w:val="000000" w:themeColor="text1"/>
          <w:kern w:val="0"/>
          <w:szCs w:val="21"/>
          <w:highlight w:val="none"/>
          <w:lang w:val="en-US" w:eastAsia="zh-CN"/>
          <w14:textFill>
            <w14:solidFill>
              <w14:schemeClr w14:val="tx1"/>
            </w14:solidFill>
          </w14:textFill>
        </w:rPr>
        <w:t>科</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研诚信严重失信记录的；②重大事项变更导致资格失效的；③逾期未报送绩效</w:t>
      </w:r>
      <w:r>
        <w:rPr>
          <w:rFonts w:hint="default" w:ascii="Times New Roman" w:hAnsi="Times New Roman" w:eastAsia="仿宋_GB2312" w:cs="Times New Roman"/>
          <w:color w:val="000000" w:themeColor="text1"/>
          <w:szCs w:val="21"/>
          <w:highlight w:val="none"/>
          <w14:textFill>
            <w14:solidFill>
              <w14:schemeClr w14:val="tx1"/>
            </w14:solidFill>
          </w14:textFill>
        </w:rPr>
        <w:t>评估</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材料，且不配合</w:t>
      </w:r>
      <w:r>
        <w:rPr>
          <w:rFonts w:hint="default" w:ascii="Times New Roman" w:hAnsi="Times New Roman" w:eastAsia="仿宋_GB2312" w:cs="Times New Roman"/>
          <w:color w:val="000000" w:themeColor="text1"/>
          <w:szCs w:val="21"/>
          <w:highlight w:val="none"/>
          <w14:textFill>
            <w14:solidFill>
              <w14:schemeClr w14:val="tx1"/>
            </w14:solidFill>
          </w14:textFill>
        </w:rPr>
        <w:t>评估</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工作的；④提供虚假材料和数据经核实严重影响</w:t>
      </w:r>
      <w:r>
        <w:rPr>
          <w:rFonts w:hint="default" w:ascii="Times New Roman" w:hAnsi="Times New Roman" w:eastAsia="仿宋_GB2312" w:cs="Times New Roman"/>
          <w:color w:val="000000" w:themeColor="text1"/>
          <w:szCs w:val="21"/>
          <w:highlight w:val="none"/>
          <w14:textFill>
            <w14:solidFill>
              <w14:schemeClr w14:val="tx1"/>
            </w14:solidFill>
          </w14:textFill>
        </w:rPr>
        <w:t>评估</w:t>
      </w:r>
      <w:r>
        <w:rPr>
          <w:rFonts w:hint="default" w:ascii="Times New Roman" w:hAnsi="Times New Roman" w:eastAsia="仿宋_GB2312" w:cs="Times New Roman"/>
          <w:color w:val="000000" w:themeColor="text1"/>
          <w:kern w:val="0"/>
          <w:szCs w:val="21"/>
          <w:highlight w:val="none"/>
          <w14:textFill>
            <w14:solidFill>
              <w14:schemeClr w14:val="tx1"/>
            </w14:solidFill>
          </w14:textFill>
        </w:rPr>
        <w:t>结果的。</w:t>
      </w:r>
      <w:bookmarkEnd w:id="4"/>
    </w:p>
    <w:p/>
    <w:p>
      <w:pPr>
        <w:keepNext w:val="0"/>
        <w:keepLines w:val="0"/>
        <w:pageBreakBefore w:val="0"/>
        <w:widowControl w:val="0"/>
        <w:kinsoku/>
        <w:wordWrap/>
        <w:overflowPunct/>
        <w:topLinePunct w:val="0"/>
        <w:autoSpaceDE/>
        <w:autoSpaceDN/>
        <w:bidi w:val="0"/>
        <w:adjustRightInd/>
        <w:snapToGrid/>
        <w:spacing w:line="300" w:lineRule="exact"/>
        <w:ind w:firstLine="883" w:firstLineChars="200"/>
        <w:textAlignment w:val="auto"/>
        <w:rPr>
          <w:rFonts w:hint="default" w:ascii="Times New Roman" w:hAnsi="Times New Roman" w:eastAsia="方正小标宋_GBK" w:cs="Times New Roman"/>
          <w:b/>
          <w:bCs/>
          <w:color w:val="000000" w:themeColor="text1"/>
          <w:kern w:val="0"/>
          <w:sz w:val="44"/>
          <w:szCs w:val="44"/>
          <w14:textFill>
            <w14:solidFill>
              <w14:schemeClr w14:val="tx1"/>
            </w14:solidFill>
          </w14:textFill>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MicrosoftYaHei-Bold">
    <w:altName w:val="汉仪仿宋S"/>
    <w:panose1 w:val="00000000000000000000"/>
    <w:charset w:val="00"/>
    <w:family w:val="roman"/>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8"/>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8"/>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MGM0YTM2MWRjN2Y4NTc5NmRkYjQ4NGYzMDU1ZGMifQ=="/>
  </w:docVars>
  <w:rsids>
    <w:rsidRoot w:val="00896B1A"/>
    <w:rsid w:val="00001470"/>
    <w:rsid w:val="000016DE"/>
    <w:rsid w:val="00003A44"/>
    <w:rsid w:val="00004232"/>
    <w:rsid w:val="00006451"/>
    <w:rsid w:val="0000737D"/>
    <w:rsid w:val="00015DAF"/>
    <w:rsid w:val="00020AB0"/>
    <w:rsid w:val="00021938"/>
    <w:rsid w:val="00025554"/>
    <w:rsid w:val="000267B6"/>
    <w:rsid w:val="00032DC8"/>
    <w:rsid w:val="00040EF6"/>
    <w:rsid w:val="00042930"/>
    <w:rsid w:val="00043670"/>
    <w:rsid w:val="0004674B"/>
    <w:rsid w:val="000530E8"/>
    <w:rsid w:val="00065B94"/>
    <w:rsid w:val="00074BAC"/>
    <w:rsid w:val="0007624D"/>
    <w:rsid w:val="000822E6"/>
    <w:rsid w:val="0008511F"/>
    <w:rsid w:val="00085290"/>
    <w:rsid w:val="0008540E"/>
    <w:rsid w:val="00086632"/>
    <w:rsid w:val="00087835"/>
    <w:rsid w:val="00091C01"/>
    <w:rsid w:val="00096047"/>
    <w:rsid w:val="000A7657"/>
    <w:rsid w:val="000B34C9"/>
    <w:rsid w:val="000B7893"/>
    <w:rsid w:val="000C282C"/>
    <w:rsid w:val="000D70CB"/>
    <w:rsid w:val="000E259F"/>
    <w:rsid w:val="000E682E"/>
    <w:rsid w:val="000F2788"/>
    <w:rsid w:val="000F2D09"/>
    <w:rsid w:val="000F41BD"/>
    <w:rsid w:val="00102350"/>
    <w:rsid w:val="00103B27"/>
    <w:rsid w:val="001065CB"/>
    <w:rsid w:val="0011004C"/>
    <w:rsid w:val="0011525D"/>
    <w:rsid w:val="00121E3F"/>
    <w:rsid w:val="00123A67"/>
    <w:rsid w:val="0012577F"/>
    <w:rsid w:val="00126EF1"/>
    <w:rsid w:val="001278AB"/>
    <w:rsid w:val="00131448"/>
    <w:rsid w:val="0013686A"/>
    <w:rsid w:val="00141C79"/>
    <w:rsid w:val="001551DA"/>
    <w:rsid w:val="0015537F"/>
    <w:rsid w:val="00156C45"/>
    <w:rsid w:val="00171135"/>
    <w:rsid w:val="00176B75"/>
    <w:rsid w:val="00176E35"/>
    <w:rsid w:val="00181BF3"/>
    <w:rsid w:val="00181E6C"/>
    <w:rsid w:val="00182D60"/>
    <w:rsid w:val="001851F4"/>
    <w:rsid w:val="00186303"/>
    <w:rsid w:val="00190A6A"/>
    <w:rsid w:val="001A0915"/>
    <w:rsid w:val="001A461E"/>
    <w:rsid w:val="001A46E3"/>
    <w:rsid w:val="001B61E4"/>
    <w:rsid w:val="001C045C"/>
    <w:rsid w:val="001C6227"/>
    <w:rsid w:val="001C78A3"/>
    <w:rsid w:val="001D0B7C"/>
    <w:rsid w:val="001D3E83"/>
    <w:rsid w:val="001D519E"/>
    <w:rsid w:val="001D6D11"/>
    <w:rsid w:val="001E0E65"/>
    <w:rsid w:val="001E33B3"/>
    <w:rsid w:val="001E37AA"/>
    <w:rsid w:val="001E68ED"/>
    <w:rsid w:val="001F2537"/>
    <w:rsid w:val="001F4D2C"/>
    <w:rsid w:val="001F6ECE"/>
    <w:rsid w:val="001F7457"/>
    <w:rsid w:val="001F768A"/>
    <w:rsid w:val="002023C3"/>
    <w:rsid w:val="00204666"/>
    <w:rsid w:val="00212172"/>
    <w:rsid w:val="00213EC7"/>
    <w:rsid w:val="00217573"/>
    <w:rsid w:val="0022107E"/>
    <w:rsid w:val="0022125E"/>
    <w:rsid w:val="0022166F"/>
    <w:rsid w:val="002231D9"/>
    <w:rsid w:val="00227DDB"/>
    <w:rsid w:val="002307F3"/>
    <w:rsid w:val="00231C85"/>
    <w:rsid w:val="00231E26"/>
    <w:rsid w:val="00231E53"/>
    <w:rsid w:val="002343CB"/>
    <w:rsid w:val="00236B2D"/>
    <w:rsid w:val="002403D0"/>
    <w:rsid w:val="002416BC"/>
    <w:rsid w:val="0024292F"/>
    <w:rsid w:val="00243003"/>
    <w:rsid w:val="0024477C"/>
    <w:rsid w:val="002577AD"/>
    <w:rsid w:val="00257E73"/>
    <w:rsid w:val="00263650"/>
    <w:rsid w:val="0026468C"/>
    <w:rsid w:val="00264E7C"/>
    <w:rsid w:val="00266CB0"/>
    <w:rsid w:val="00266CB7"/>
    <w:rsid w:val="0027004E"/>
    <w:rsid w:val="002722B0"/>
    <w:rsid w:val="00277728"/>
    <w:rsid w:val="00282B6F"/>
    <w:rsid w:val="00287433"/>
    <w:rsid w:val="002912C0"/>
    <w:rsid w:val="002928D9"/>
    <w:rsid w:val="00292C6D"/>
    <w:rsid w:val="0029465C"/>
    <w:rsid w:val="00295294"/>
    <w:rsid w:val="0029648B"/>
    <w:rsid w:val="002A2173"/>
    <w:rsid w:val="002A42F3"/>
    <w:rsid w:val="002A4405"/>
    <w:rsid w:val="002B180F"/>
    <w:rsid w:val="002B26DB"/>
    <w:rsid w:val="002B2D25"/>
    <w:rsid w:val="002B2E28"/>
    <w:rsid w:val="002C148D"/>
    <w:rsid w:val="002C4604"/>
    <w:rsid w:val="002C52A7"/>
    <w:rsid w:val="002C531A"/>
    <w:rsid w:val="002C6E49"/>
    <w:rsid w:val="002D28E9"/>
    <w:rsid w:val="002D35D5"/>
    <w:rsid w:val="002D633E"/>
    <w:rsid w:val="002E09F7"/>
    <w:rsid w:val="002E424C"/>
    <w:rsid w:val="002E4EDB"/>
    <w:rsid w:val="002F0D05"/>
    <w:rsid w:val="002F6FB5"/>
    <w:rsid w:val="002F7646"/>
    <w:rsid w:val="0030080B"/>
    <w:rsid w:val="00300DCF"/>
    <w:rsid w:val="0030243B"/>
    <w:rsid w:val="00304491"/>
    <w:rsid w:val="00307DBD"/>
    <w:rsid w:val="003119F4"/>
    <w:rsid w:val="00314A98"/>
    <w:rsid w:val="00316491"/>
    <w:rsid w:val="003302FD"/>
    <w:rsid w:val="00332276"/>
    <w:rsid w:val="0033240B"/>
    <w:rsid w:val="00341251"/>
    <w:rsid w:val="00345A68"/>
    <w:rsid w:val="00351FA2"/>
    <w:rsid w:val="00355787"/>
    <w:rsid w:val="003600B6"/>
    <w:rsid w:val="003657DC"/>
    <w:rsid w:val="00367CA7"/>
    <w:rsid w:val="00370571"/>
    <w:rsid w:val="00374389"/>
    <w:rsid w:val="00380842"/>
    <w:rsid w:val="00382304"/>
    <w:rsid w:val="00382546"/>
    <w:rsid w:val="00384A07"/>
    <w:rsid w:val="003915DB"/>
    <w:rsid w:val="0039314B"/>
    <w:rsid w:val="003932A7"/>
    <w:rsid w:val="0039383B"/>
    <w:rsid w:val="00395F9F"/>
    <w:rsid w:val="003A0186"/>
    <w:rsid w:val="003A28E9"/>
    <w:rsid w:val="003A4102"/>
    <w:rsid w:val="003A44D8"/>
    <w:rsid w:val="003A623A"/>
    <w:rsid w:val="003A792B"/>
    <w:rsid w:val="003B48B3"/>
    <w:rsid w:val="003B4E67"/>
    <w:rsid w:val="003B5349"/>
    <w:rsid w:val="003B53ED"/>
    <w:rsid w:val="003C136B"/>
    <w:rsid w:val="003C6091"/>
    <w:rsid w:val="003C67F6"/>
    <w:rsid w:val="003C7363"/>
    <w:rsid w:val="003D0631"/>
    <w:rsid w:val="003D0EC7"/>
    <w:rsid w:val="003D1D5C"/>
    <w:rsid w:val="003E01BE"/>
    <w:rsid w:val="003E4202"/>
    <w:rsid w:val="003E46A7"/>
    <w:rsid w:val="003E5F67"/>
    <w:rsid w:val="003E6D1E"/>
    <w:rsid w:val="003F05F9"/>
    <w:rsid w:val="003F2C6A"/>
    <w:rsid w:val="003F4AD4"/>
    <w:rsid w:val="003F4CB5"/>
    <w:rsid w:val="004001E3"/>
    <w:rsid w:val="00403D44"/>
    <w:rsid w:val="00406A31"/>
    <w:rsid w:val="004115EB"/>
    <w:rsid w:val="00411C11"/>
    <w:rsid w:val="0041368C"/>
    <w:rsid w:val="00415C82"/>
    <w:rsid w:val="00415FB0"/>
    <w:rsid w:val="00420BEF"/>
    <w:rsid w:val="00423F23"/>
    <w:rsid w:val="004300F7"/>
    <w:rsid w:val="00430E6D"/>
    <w:rsid w:val="004314DF"/>
    <w:rsid w:val="00431784"/>
    <w:rsid w:val="00432681"/>
    <w:rsid w:val="0043731C"/>
    <w:rsid w:val="004420E2"/>
    <w:rsid w:val="00446355"/>
    <w:rsid w:val="00450D37"/>
    <w:rsid w:val="0046107D"/>
    <w:rsid w:val="00461D46"/>
    <w:rsid w:val="00462820"/>
    <w:rsid w:val="0046597A"/>
    <w:rsid w:val="0047154F"/>
    <w:rsid w:val="00471E25"/>
    <w:rsid w:val="00475FEE"/>
    <w:rsid w:val="00476551"/>
    <w:rsid w:val="004914AA"/>
    <w:rsid w:val="00493799"/>
    <w:rsid w:val="00497E0B"/>
    <w:rsid w:val="004A61EB"/>
    <w:rsid w:val="004A66E1"/>
    <w:rsid w:val="004A679F"/>
    <w:rsid w:val="004B5F4A"/>
    <w:rsid w:val="004C0B0C"/>
    <w:rsid w:val="004C2EED"/>
    <w:rsid w:val="004C3484"/>
    <w:rsid w:val="004C378E"/>
    <w:rsid w:val="004C46BF"/>
    <w:rsid w:val="004C60F0"/>
    <w:rsid w:val="004D08E4"/>
    <w:rsid w:val="004D193F"/>
    <w:rsid w:val="004D2B7C"/>
    <w:rsid w:val="004E0B74"/>
    <w:rsid w:val="004E20FC"/>
    <w:rsid w:val="004E2698"/>
    <w:rsid w:val="004E2865"/>
    <w:rsid w:val="004F0407"/>
    <w:rsid w:val="004F05A3"/>
    <w:rsid w:val="004F0CB5"/>
    <w:rsid w:val="004F34A8"/>
    <w:rsid w:val="004F58E3"/>
    <w:rsid w:val="004F5A0E"/>
    <w:rsid w:val="00502628"/>
    <w:rsid w:val="00507FDD"/>
    <w:rsid w:val="00523455"/>
    <w:rsid w:val="00523A8E"/>
    <w:rsid w:val="00527476"/>
    <w:rsid w:val="0052784C"/>
    <w:rsid w:val="0054022C"/>
    <w:rsid w:val="00540467"/>
    <w:rsid w:val="00543F3F"/>
    <w:rsid w:val="00544236"/>
    <w:rsid w:val="005442FA"/>
    <w:rsid w:val="00547905"/>
    <w:rsid w:val="00552746"/>
    <w:rsid w:val="005562A2"/>
    <w:rsid w:val="005602BB"/>
    <w:rsid w:val="00565094"/>
    <w:rsid w:val="00572692"/>
    <w:rsid w:val="0057282D"/>
    <w:rsid w:val="00573CD8"/>
    <w:rsid w:val="005751EA"/>
    <w:rsid w:val="0058011F"/>
    <w:rsid w:val="00581E8E"/>
    <w:rsid w:val="00582146"/>
    <w:rsid w:val="00585507"/>
    <w:rsid w:val="00590B48"/>
    <w:rsid w:val="005A1D02"/>
    <w:rsid w:val="005A2C2C"/>
    <w:rsid w:val="005B2F4C"/>
    <w:rsid w:val="005B49ED"/>
    <w:rsid w:val="005C2731"/>
    <w:rsid w:val="005C2791"/>
    <w:rsid w:val="005D45E2"/>
    <w:rsid w:val="005D4D84"/>
    <w:rsid w:val="005D5060"/>
    <w:rsid w:val="005D59BD"/>
    <w:rsid w:val="005D64C2"/>
    <w:rsid w:val="005E0273"/>
    <w:rsid w:val="005E1DA5"/>
    <w:rsid w:val="005E337A"/>
    <w:rsid w:val="005E66F1"/>
    <w:rsid w:val="005F0B16"/>
    <w:rsid w:val="005F24D0"/>
    <w:rsid w:val="005F323E"/>
    <w:rsid w:val="005F766B"/>
    <w:rsid w:val="00601209"/>
    <w:rsid w:val="006034D8"/>
    <w:rsid w:val="00603842"/>
    <w:rsid w:val="006048E1"/>
    <w:rsid w:val="006066AE"/>
    <w:rsid w:val="00607FDE"/>
    <w:rsid w:val="0061011B"/>
    <w:rsid w:val="00610558"/>
    <w:rsid w:val="006116BF"/>
    <w:rsid w:val="00621FF9"/>
    <w:rsid w:val="006258FA"/>
    <w:rsid w:val="006259CE"/>
    <w:rsid w:val="00630CAD"/>
    <w:rsid w:val="00631F44"/>
    <w:rsid w:val="00632D95"/>
    <w:rsid w:val="006406BF"/>
    <w:rsid w:val="00641A99"/>
    <w:rsid w:val="00644D39"/>
    <w:rsid w:val="00646BA7"/>
    <w:rsid w:val="00646C24"/>
    <w:rsid w:val="00647E1A"/>
    <w:rsid w:val="00650D40"/>
    <w:rsid w:val="006600E0"/>
    <w:rsid w:val="006605DD"/>
    <w:rsid w:val="00662120"/>
    <w:rsid w:val="006627D6"/>
    <w:rsid w:val="00666DCC"/>
    <w:rsid w:val="00667B0F"/>
    <w:rsid w:val="006727B3"/>
    <w:rsid w:val="00674967"/>
    <w:rsid w:val="00683390"/>
    <w:rsid w:val="00685FA0"/>
    <w:rsid w:val="00691C3D"/>
    <w:rsid w:val="006925C2"/>
    <w:rsid w:val="006A5C0D"/>
    <w:rsid w:val="006A7315"/>
    <w:rsid w:val="006B2C73"/>
    <w:rsid w:val="006B3431"/>
    <w:rsid w:val="006B4832"/>
    <w:rsid w:val="006B50E2"/>
    <w:rsid w:val="006C02E7"/>
    <w:rsid w:val="006C0B45"/>
    <w:rsid w:val="006C2455"/>
    <w:rsid w:val="006C3B69"/>
    <w:rsid w:val="006C5574"/>
    <w:rsid w:val="006C754C"/>
    <w:rsid w:val="006D299E"/>
    <w:rsid w:val="006D6A5F"/>
    <w:rsid w:val="006E3ACB"/>
    <w:rsid w:val="006F207F"/>
    <w:rsid w:val="006F4793"/>
    <w:rsid w:val="006F4B18"/>
    <w:rsid w:val="006F7603"/>
    <w:rsid w:val="007009FF"/>
    <w:rsid w:val="007039F7"/>
    <w:rsid w:val="007115EE"/>
    <w:rsid w:val="007219D0"/>
    <w:rsid w:val="00721FC9"/>
    <w:rsid w:val="00726585"/>
    <w:rsid w:val="0073185E"/>
    <w:rsid w:val="00732056"/>
    <w:rsid w:val="00733680"/>
    <w:rsid w:val="007344C6"/>
    <w:rsid w:val="00735453"/>
    <w:rsid w:val="00741B40"/>
    <w:rsid w:val="007449C8"/>
    <w:rsid w:val="00744C14"/>
    <w:rsid w:val="00744F5D"/>
    <w:rsid w:val="00745A99"/>
    <w:rsid w:val="00746ED5"/>
    <w:rsid w:val="00747718"/>
    <w:rsid w:val="007478BA"/>
    <w:rsid w:val="007513BE"/>
    <w:rsid w:val="007576E7"/>
    <w:rsid w:val="00763017"/>
    <w:rsid w:val="00763782"/>
    <w:rsid w:val="00770033"/>
    <w:rsid w:val="00776703"/>
    <w:rsid w:val="00782654"/>
    <w:rsid w:val="00784749"/>
    <w:rsid w:val="00784C87"/>
    <w:rsid w:val="00786CB0"/>
    <w:rsid w:val="00787A80"/>
    <w:rsid w:val="00790371"/>
    <w:rsid w:val="0079049A"/>
    <w:rsid w:val="00792292"/>
    <w:rsid w:val="007947AF"/>
    <w:rsid w:val="007A1449"/>
    <w:rsid w:val="007A57B0"/>
    <w:rsid w:val="007B0C84"/>
    <w:rsid w:val="007B493C"/>
    <w:rsid w:val="007B514A"/>
    <w:rsid w:val="007B5BFA"/>
    <w:rsid w:val="007B6F5E"/>
    <w:rsid w:val="007C3788"/>
    <w:rsid w:val="007C7465"/>
    <w:rsid w:val="007D0CE9"/>
    <w:rsid w:val="007D12C8"/>
    <w:rsid w:val="007E29DE"/>
    <w:rsid w:val="007E53C9"/>
    <w:rsid w:val="007F35F4"/>
    <w:rsid w:val="007F68BF"/>
    <w:rsid w:val="008009D5"/>
    <w:rsid w:val="00810A04"/>
    <w:rsid w:val="00812C6A"/>
    <w:rsid w:val="0081547E"/>
    <w:rsid w:val="008164E8"/>
    <w:rsid w:val="00825748"/>
    <w:rsid w:val="00826C75"/>
    <w:rsid w:val="00831D09"/>
    <w:rsid w:val="008333E1"/>
    <w:rsid w:val="00834331"/>
    <w:rsid w:val="00840601"/>
    <w:rsid w:val="00842847"/>
    <w:rsid w:val="008526CC"/>
    <w:rsid w:val="00854499"/>
    <w:rsid w:val="008547DC"/>
    <w:rsid w:val="00866B1F"/>
    <w:rsid w:val="008702B7"/>
    <w:rsid w:val="00870EC9"/>
    <w:rsid w:val="00875A90"/>
    <w:rsid w:val="0087639A"/>
    <w:rsid w:val="008806F0"/>
    <w:rsid w:val="008831C7"/>
    <w:rsid w:val="008862DA"/>
    <w:rsid w:val="00887C55"/>
    <w:rsid w:val="0089264C"/>
    <w:rsid w:val="00895BA3"/>
    <w:rsid w:val="00896B1A"/>
    <w:rsid w:val="008A21B3"/>
    <w:rsid w:val="008A2D98"/>
    <w:rsid w:val="008B38DA"/>
    <w:rsid w:val="008B3A54"/>
    <w:rsid w:val="008B3AB4"/>
    <w:rsid w:val="008C1702"/>
    <w:rsid w:val="008C297A"/>
    <w:rsid w:val="008C37FC"/>
    <w:rsid w:val="008C44B1"/>
    <w:rsid w:val="008C65BD"/>
    <w:rsid w:val="008C689A"/>
    <w:rsid w:val="008D100E"/>
    <w:rsid w:val="008D12B0"/>
    <w:rsid w:val="008D2203"/>
    <w:rsid w:val="008D3767"/>
    <w:rsid w:val="008D4011"/>
    <w:rsid w:val="008D435B"/>
    <w:rsid w:val="008D56D3"/>
    <w:rsid w:val="008D6650"/>
    <w:rsid w:val="008E065E"/>
    <w:rsid w:val="008E0E84"/>
    <w:rsid w:val="008E1295"/>
    <w:rsid w:val="008E3528"/>
    <w:rsid w:val="008F0561"/>
    <w:rsid w:val="008F3158"/>
    <w:rsid w:val="008F774D"/>
    <w:rsid w:val="009017AE"/>
    <w:rsid w:val="00903144"/>
    <w:rsid w:val="00913C23"/>
    <w:rsid w:val="00916ED6"/>
    <w:rsid w:val="009223D4"/>
    <w:rsid w:val="00936696"/>
    <w:rsid w:val="009375E7"/>
    <w:rsid w:val="00940DFB"/>
    <w:rsid w:val="00961724"/>
    <w:rsid w:val="00962779"/>
    <w:rsid w:val="00962A81"/>
    <w:rsid w:val="00970E7E"/>
    <w:rsid w:val="00972D38"/>
    <w:rsid w:val="00973F9D"/>
    <w:rsid w:val="009744A5"/>
    <w:rsid w:val="00975451"/>
    <w:rsid w:val="00975529"/>
    <w:rsid w:val="0097579F"/>
    <w:rsid w:val="00980F27"/>
    <w:rsid w:val="00981954"/>
    <w:rsid w:val="00982AC7"/>
    <w:rsid w:val="00983DB7"/>
    <w:rsid w:val="009A15BC"/>
    <w:rsid w:val="009A53FD"/>
    <w:rsid w:val="009A6127"/>
    <w:rsid w:val="009A686B"/>
    <w:rsid w:val="009A6FC1"/>
    <w:rsid w:val="009B59A6"/>
    <w:rsid w:val="009C18BE"/>
    <w:rsid w:val="009C58DB"/>
    <w:rsid w:val="009E053D"/>
    <w:rsid w:val="009E201C"/>
    <w:rsid w:val="009E2CF9"/>
    <w:rsid w:val="009E3DF6"/>
    <w:rsid w:val="009E7BE3"/>
    <w:rsid w:val="00A02A8B"/>
    <w:rsid w:val="00A03832"/>
    <w:rsid w:val="00A0458A"/>
    <w:rsid w:val="00A0684C"/>
    <w:rsid w:val="00A076D7"/>
    <w:rsid w:val="00A1023C"/>
    <w:rsid w:val="00A11149"/>
    <w:rsid w:val="00A12F3F"/>
    <w:rsid w:val="00A140AB"/>
    <w:rsid w:val="00A174D6"/>
    <w:rsid w:val="00A21706"/>
    <w:rsid w:val="00A21B5D"/>
    <w:rsid w:val="00A23C9B"/>
    <w:rsid w:val="00A2690E"/>
    <w:rsid w:val="00A30693"/>
    <w:rsid w:val="00A33DEB"/>
    <w:rsid w:val="00A3425B"/>
    <w:rsid w:val="00A37C38"/>
    <w:rsid w:val="00A45411"/>
    <w:rsid w:val="00A47649"/>
    <w:rsid w:val="00A50CE4"/>
    <w:rsid w:val="00A5219B"/>
    <w:rsid w:val="00A52E98"/>
    <w:rsid w:val="00A52EAE"/>
    <w:rsid w:val="00A537DE"/>
    <w:rsid w:val="00A538D4"/>
    <w:rsid w:val="00A55719"/>
    <w:rsid w:val="00A60511"/>
    <w:rsid w:val="00A65C86"/>
    <w:rsid w:val="00A65CB4"/>
    <w:rsid w:val="00A65F77"/>
    <w:rsid w:val="00A71D87"/>
    <w:rsid w:val="00A71E39"/>
    <w:rsid w:val="00A81376"/>
    <w:rsid w:val="00A82A35"/>
    <w:rsid w:val="00A83FCA"/>
    <w:rsid w:val="00A8415F"/>
    <w:rsid w:val="00A93A7B"/>
    <w:rsid w:val="00A9703A"/>
    <w:rsid w:val="00AA05B1"/>
    <w:rsid w:val="00AA1EF9"/>
    <w:rsid w:val="00AA25C5"/>
    <w:rsid w:val="00AA3AE6"/>
    <w:rsid w:val="00AA3DAF"/>
    <w:rsid w:val="00AB0818"/>
    <w:rsid w:val="00AB0B30"/>
    <w:rsid w:val="00AB1D10"/>
    <w:rsid w:val="00AB24F9"/>
    <w:rsid w:val="00AC128C"/>
    <w:rsid w:val="00AC1FF2"/>
    <w:rsid w:val="00AC4852"/>
    <w:rsid w:val="00AC5C71"/>
    <w:rsid w:val="00AE2FB7"/>
    <w:rsid w:val="00AE34E3"/>
    <w:rsid w:val="00AE5B89"/>
    <w:rsid w:val="00AF0728"/>
    <w:rsid w:val="00AF08A4"/>
    <w:rsid w:val="00AF4209"/>
    <w:rsid w:val="00AF4452"/>
    <w:rsid w:val="00B00189"/>
    <w:rsid w:val="00B100C8"/>
    <w:rsid w:val="00B10455"/>
    <w:rsid w:val="00B1583A"/>
    <w:rsid w:val="00B174B5"/>
    <w:rsid w:val="00B23425"/>
    <w:rsid w:val="00B25C08"/>
    <w:rsid w:val="00B26358"/>
    <w:rsid w:val="00B36ABA"/>
    <w:rsid w:val="00B402ED"/>
    <w:rsid w:val="00B45312"/>
    <w:rsid w:val="00B460D9"/>
    <w:rsid w:val="00B47762"/>
    <w:rsid w:val="00B47840"/>
    <w:rsid w:val="00B526F7"/>
    <w:rsid w:val="00B53A98"/>
    <w:rsid w:val="00B545A5"/>
    <w:rsid w:val="00B553DB"/>
    <w:rsid w:val="00B55726"/>
    <w:rsid w:val="00B6043B"/>
    <w:rsid w:val="00B658BB"/>
    <w:rsid w:val="00B6611F"/>
    <w:rsid w:val="00B72D62"/>
    <w:rsid w:val="00B742C8"/>
    <w:rsid w:val="00B841D5"/>
    <w:rsid w:val="00B87233"/>
    <w:rsid w:val="00B908E9"/>
    <w:rsid w:val="00B94858"/>
    <w:rsid w:val="00B97EAB"/>
    <w:rsid w:val="00BA003C"/>
    <w:rsid w:val="00BA0C83"/>
    <w:rsid w:val="00BA14D2"/>
    <w:rsid w:val="00BA5155"/>
    <w:rsid w:val="00BC2F0E"/>
    <w:rsid w:val="00BC35F9"/>
    <w:rsid w:val="00BC4641"/>
    <w:rsid w:val="00BC53BA"/>
    <w:rsid w:val="00BC57F3"/>
    <w:rsid w:val="00BC7170"/>
    <w:rsid w:val="00BD325A"/>
    <w:rsid w:val="00BD3C82"/>
    <w:rsid w:val="00BD576A"/>
    <w:rsid w:val="00BD78CC"/>
    <w:rsid w:val="00BD7DAC"/>
    <w:rsid w:val="00BE15DC"/>
    <w:rsid w:val="00BE2084"/>
    <w:rsid w:val="00BE604F"/>
    <w:rsid w:val="00BF220A"/>
    <w:rsid w:val="00BF39D3"/>
    <w:rsid w:val="00BF5384"/>
    <w:rsid w:val="00C01987"/>
    <w:rsid w:val="00C02A1A"/>
    <w:rsid w:val="00C05138"/>
    <w:rsid w:val="00C06AA9"/>
    <w:rsid w:val="00C14D9C"/>
    <w:rsid w:val="00C16F2C"/>
    <w:rsid w:val="00C219B9"/>
    <w:rsid w:val="00C21A37"/>
    <w:rsid w:val="00C21B26"/>
    <w:rsid w:val="00C21D5F"/>
    <w:rsid w:val="00C272B4"/>
    <w:rsid w:val="00C308FD"/>
    <w:rsid w:val="00C365B9"/>
    <w:rsid w:val="00C36BC2"/>
    <w:rsid w:val="00C3704A"/>
    <w:rsid w:val="00C41650"/>
    <w:rsid w:val="00C53517"/>
    <w:rsid w:val="00C53907"/>
    <w:rsid w:val="00C547AD"/>
    <w:rsid w:val="00C55CC6"/>
    <w:rsid w:val="00C56A1D"/>
    <w:rsid w:val="00C57F22"/>
    <w:rsid w:val="00C6258C"/>
    <w:rsid w:val="00C62852"/>
    <w:rsid w:val="00C62D1D"/>
    <w:rsid w:val="00C647E3"/>
    <w:rsid w:val="00C64EE4"/>
    <w:rsid w:val="00C652E0"/>
    <w:rsid w:val="00C80527"/>
    <w:rsid w:val="00C80A21"/>
    <w:rsid w:val="00C80E0D"/>
    <w:rsid w:val="00C821B9"/>
    <w:rsid w:val="00C82C89"/>
    <w:rsid w:val="00C83C24"/>
    <w:rsid w:val="00C86F58"/>
    <w:rsid w:val="00C91C7D"/>
    <w:rsid w:val="00C93966"/>
    <w:rsid w:val="00CA530B"/>
    <w:rsid w:val="00CB1B08"/>
    <w:rsid w:val="00CB3846"/>
    <w:rsid w:val="00CB4931"/>
    <w:rsid w:val="00CB6C66"/>
    <w:rsid w:val="00CB7029"/>
    <w:rsid w:val="00CB7D23"/>
    <w:rsid w:val="00CC02BE"/>
    <w:rsid w:val="00CC06FB"/>
    <w:rsid w:val="00CC3C9A"/>
    <w:rsid w:val="00CC7B76"/>
    <w:rsid w:val="00CD01A0"/>
    <w:rsid w:val="00CD04F4"/>
    <w:rsid w:val="00CD1346"/>
    <w:rsid w:val="00CD321B"/>
    <w:rsid w:val="00CD41C7"/>
    <w:rsid w:val="00CD4CE3"/>
    <w:rsid w:val="00CE16F2"/>
    <w:rsid w:val="00CE366B"/>
    <w:rsid w:val="00CE3724"/>
    <w:rsid w:val="00CE772B"/>
    <w:rsid w:val="00CF3A2A"/>
    <w:rsid w:val="00D023B2"/>
    <w:rsid w:val="00D05A78"/>
    <w:rsid w:val="00D1363E"/>
    <w:rsid w:val="00D14B74"/>
    <w:rsid w:val="00D14BA5"/>
    <w:rsid w:val="00D164A3"/>
    <w:rsid w:val="00D16D95"/>
    <w:rsid w:val="00D21A3F"/>
    <w:rsid w:val="00D25D9A"/>
    <w:rsid w:val="00D26ABC"/>
    <w:rsid w:val="00D27CFC"/>
    <w:rsid w:val="00D33255"/>
    <w:rsid w:val="00D33C63"/>
    <w:rsid w:val="00D35D92"/>
    <w:rsid w:val="00D41B9A"/>
    <w:rsid w:val="00D42F57"/>
    <w:rsid w:val="00D43055"/>
    <w:rsid w:val="00D43740"/>
    <w:rsid w:val="00D4412A"/>
    <w:rsid w:val="00D44424"/>
    <w:rsid w:val="00D507EF"/>
    <w:rsid w:val="00D529E7"/>
    <w:rsid w:val="00D52CC9"/>
    <w:rsid w:val="00D53660"/>
    <w:rsid w:val="00D5754A"/>
    <w:rsid w:val="00D61D8E"/>
    <w:rsid w:val="00D6370D"/>
    <w:rsid w:val="00D64EAE"/>
    <w:rsid w:val="00D64F7F"/>
    <w:rsid w:val="00D73AFB"/>
    <w:rsid w:val="00D74949"/>
    <w:rsid w:val="00D74993"/>
    <w:rsid w:val="00D80571"/>
    <w:rsid w:val="00D837BF"/>
    <w:rsid w:val="00D849E2"/>
    <w:rsid w:val="00D854CE"/>
    <w:rsid w:val="00D85531"/>
    <w:rsid w:val="00D9078D"/>
    <w:rsid w:val="00D908CE"/>
    <w:rsid w:val="00D91AEB"/>
    <w:rsid w:val="00D93BBC"/>
    <w:rsid w:val="00D96099"/>
    <w:rsid w:val="00D97243"/>
    <w:rsid w:val="00DA0150"/>
    <w:rsid w:val="00DA1A1C"/>
    <w:rsid w:val="00DB2B05"/>
    <w:rsid w:val="00DB2C99"/>
    <w:rsid w:val="00DB411B"/>
    <w:rsid w:val="00DB7244"/>
    <w:rsid w:val="00DC0A03"/>
    <w:rsid w:val="00DC0A3A"/>
    <w:rsid w:val="00DC6996"/>
    <w:rsid w:val="00DC739B"/>
    <w:rsid w:val="00DC7915"/>
    <w:rsid w:val="00DD4206"/>
    <w:rsid w:val="00DD5D93"/>
    <w:rsid w:val="00DD6D19"/>
    <w:rsid w:val="00DE29B9"/>
    <w:rsid w:val="00DE7037"/>
    <w:rsid w:val="00DE7E2E"/>
    <w:rsid w:val="00DF07FC"/>
    <w:rsid w:val="00DF4B73"/>
    <w:rsid w:val="00E00762"/>
    <w:rsid w:val="00E032D3"/>
    <w:rsid w:val="00E14D47"/>
    <w:rsid w:val="00E162E4"/>
    <w:rsid w:val="00E2142B"/>
    <w:rsid w:val="00E409E1"/>
    <w:rsid w:val="00E42698"/>
    <w:rsid w:val="00E44AD4"/>
    <w:rsid w:val="00E4529D"/>
    <w:rsid w:val="00E53291"/>
    <w:rsid w:val="00E5644D"/>
    <w:rsid w:val="00E5727F"/>
    <w:rsid w:val="00E57D73"/>
    <w:rsid w:val="00E628A1"/>
    <w:rsid w:val="00E64861"/>
    <w:rsid w:val="00E64F35"/>
    <w:rsid w:val="00E66612"/>
    <w:rsid w:val="00E71212"/>
    <w:rsid w:val="00E71DF4"/>
    <w:rsid w:val="00E71E66"/>
    <w:rsid w:val="00E728A2"/>
    <w:rsid w:val="00E73266"/>
    <w:rsid w:val="00E7348C"/>
    <w:rsid w:val="00E74C6A"/>
    <w:rsid w:val="00E80D26"/>
    <w:rsid w:val="00E823C8"/>
    <w:rsid w:val="00E8494F"/>
    <w:rsid w:val="00E85EC4"/>
    <w:rsid w:val="00E9511F"/>
    <w:rsid w:val="00E9598A"/>
    <w:rsid w:val="00E95D30"/>
    <w:rsid w:val="00EA0305"/>
    <w:rsid w:val="00EA210C"/>
    <w:rsid w:val="00EA2DC7"/>
    <w:rsid w:val="00EA44D3"/>
    <w:rsid w:val="00EA526A"/>
    <w:rsid w:val="00EA7363"/>
    <w:rsid w:val="00EB4A6B"/>
    <w:rsid w:val="00EB7754"/>
    <w:rsid w:val="00EC46A4"/>
    <w:rsid w:val="00ED16ED"/>
    <w:rsid w:val="00ED6005"/>
    <w:rsid w:val="00EE3654"/>
    <w:rsid w:val="00EE6182"/>
    <w:rsid w:val="00EF209F"/>
    <w:rsid w:val="00EF75AB"/>
    <w:rsid w:val="00F01F90"/>
    <w:rsid w:val="00F11053"/>
    <w:rsid w:val="00F123B8"/>
    <w:rsid w:val="00F14B22"/>
    <w:rsid w:val="00F16826"/>
    <w:rsid w:val="00F214CB"/>
    <w:rsid w:val="00F22EDE"/>
    <w:rsid w:val="00F23A88"/>
    <w:rsid w:val="00F23AE3"/>
    <w:rsid w:val="00F25776"/>
    <w:rsid w:val="00F25B3B"/>
    <w:rsid w:val="00F2682A"/>
    <w:rsid w:val="00F271A8"/>
    <w:rsid w:val="00F27261"/>
    <w:rsid w:val="00F30B31"/>
    <w:rsid w:val="00F31BE0"/>
    <w:rsid w:val="00F32ACA"/>
    <w:rsid w:val="00F33CC1"/>
    <w:rsid w:val="00F4081E"/>
    <w:rsid w:val="00F42121"/>
    <w:rsid w:val="00F424D2"/>
    <w:rsid w:val="00F43C72"/>
    <w:rsid w:val="00F44A02"/>
    <w:rsid w:val="00F466C8"/>
    <w:rsid w:val="00F53BEF"/>
    <w:rsid w:val="00F571BC"/>
    <w:rsid w:val="00F628C8"/>
    <w:rsid w:val="00F658EE"/>
    <w:rsid w:val="00F67C1A"/>
    <w:rsid w:val="00F748C3"/>
    <w:rsid w:val="00F76A98"/>
    <w:rsid w:val="00F76CA6"/>
    <w:rsid w:val="00F80DB0"/>
    <w:rsid w:val="00F8536C"/>
    <w:rsid w:val="00F875E9"/>
    <w:rsid w:val="00F9082C"/>
    <w:rsid w:val="00FA083B"/>
    <w:rsid w:val="00FA16AD"/>
    <w:rsid w:val="00FA28EC"/>
    <w:rsid w:val="00FA47EB"/>
    <w:rsid w:val="00FA6A7C"/>
    <w:rsid w:val="00FB2187"/>
    <w:rsid w:val="00FB6556"/>
    <w:rsid w:val="00FC378E"/>
    <w:rsid w:val="00FC5694"/>
    <w:rsid w:val="00FC601B"/>
    <w:rsid w:val="00FD0FC6"/>
    <w:rsid w:val="00FD13E0"/>
    <w:rsid w:val="00FE179E"/>
    <w:rsid w:val="00FE27C9"/>
    <w:rsid w:val="00FF62AA"/>
    <w:rsid w:val="02244D32"/>
    <w:rsid w:val="032B09E8"/>
    <w:rsid w:val="0410296E"/>
    <w:rsid w:val="048974A6"/>
    <w:rsid w:val="05833D7B"/>
    <w:rsid w:val="06EB0BBA"/>
    <w:rsid w:val="07001D82"/>
    <w:rsid w:val="07CB4548"/>
    <w:rsid w:val="085D1644"/>
    <w:rsid w:val="08A92ADB"/>
    <w:rsid w:val="09510DC4"/>
    <w:rsid w:val="09861D3A"/>
    <w:rsid w:val="0995305F"/>
    <w:rsid w:val="0ABE48DB"/>
    <w:rsid w:val="0B236AA6"/>
    <w:rsid w:val="0B776EC0"/>
    <w:rsid w:val="0C5E3BDC"/>
    <w:rsid w:val="0C99573B"/>
    <w:rsid w:val="0D094B10"/>
    <w:rsid w:val="0D5062DB"/>
    <w:rsid w:val="0E6621A2"/>
    <w:rsid w:val="113B6B1B"/>
    <w:rsid w:val="11FA43A7"/>
    <w:rsid w:val="134612B1"/>
    <w:rsid w:val="14065285"/>
    <w:rsid w:val="14E27C44"/>
    <w:rsid w:val="1893755D"/>
    <w:rsid w:val="191B627B"/>
    <w:rsid w:val="195B59B9"/>
    <w:rsid w:val="1AB163A3"/>
    <w:rsid w:val="1B4B5C73"/>
    <w:rsid w:val="1B4F7512"/>
    <w:rsid w:val="1B944F25"/>
    <w:rsid w:val="1BD430E3"/>
    <w:rsid w:val="1C384E5A"/>
    <w:rsid w:val="1CBFCB89"/>
    <w:rsid w:val="1CD221A8"/>
    <w:rsid w:val="1D2616DA"/>
    <w:rsid w:val="1D526E45"/>
    <w:rsid w:val="1E547FCC"/>
    <w:rsid w:val="1FEF9BED"/>
    <w:rsid w:val="2152124C"/>
    <w:rsid w:val="218628EB"/>
    <w:rsid w:val="21893A13"/>
    <w:rsid w:val="23720F5B"/>
    <w:rsid w:val="23C6233B"/>
    <w:rsid w:val="23D63FF3"/>
    <w:rsid w:val="249A4004"/>
    <w:rsid w:val="256A441E"/>
    <w:rsid w:val="2644440E"/>
    <w:rsid w:val="26972F8D"/>
    <w:rsid w:val="26CD30A8"/>
    <w:rsid w:val="271802CF"/>
    <w:rsid w:val="27192429"/>
    <w:rsid w:val="27586970"/>
    <w:rsid w:val="29416F41"/>
    <w:rsid w:val="29882AC0"/>
    <w:rsid w:val="2AC7C401"/>
    <w:rsid w:val="2B15163B"/>
    <w:rsid w:val="2F392D19"/>
    <w:rsid w:val="2F9D3973"/>
    <w:rsid w:val="2FA2715B"/>
    <w:rsid w:val="3257018C"/>
    <w:rsid w:val="3299644A"/>
    <w:rsid w:val="3389765A"/>
    <w:rsid w:val="34A00474"/>
    <w:rsid w:val="36C3653E"/>
    <w:rsid w:val="36E1642B"/>
    <w:rsid w:val="385D46A3"/>
    <w:rsid w:val="389C3213"/>
    <w:rsid w:val="38B8490B"/>
    <w:rsid w:val="3B84056B"/>
    <w:rsid w:val="3C075B73"/>
    <w:rsid w:val="3CF32080"/>
    <w:rsid w:val="3DB1972D"/>
    <w:rsid w:val="3E3C0328"/>
    <w:rsid w:val="3EB017C6"/>
    <w:rsid w:val="3EB76FF8"/>
    <w:rsid w:val="3EFF0E37"/>
    <w:rsid w:val="3FA36720"/>
    <w:rsid w:val="413C37E5"/>
    <w:rsid w:val="41434A07"/>
    <w:rsid w:val="41850CE8"/>
    <w:rsid w:val="438E2513"/>
    <w:rsid w:val="44216071"/>
    <w:rsid w:val="445960B0"/>
    <w:rsid w:val="44F07AC6"/>
    <w:rsid w:val="458B0897"/>
    <w:rsid w:val="462869F6"/>
    <w:rsid w:val="473751E4"/>
    <w:rsid w:val="47411F74"/>
    <w:rsid w:val="47490A0A"/>
    <w:rsid w:val="476D0453"/>
    <w:rsid w:val="479E5ECE"/>
    <w:rsid w:val="48605408"/>
    <w:rsid w:val="48824A94"/>
    <w:rsid w:val="497F6965"/>
    <w:rsid w:val="4A61313B"/>
    <w:rsid w:val="4AEF02E3"/>
    <w:rsid w:val="4BD27220"/>
    <w:rsid w:val="4C932BC3"/>
    <w:rsid w:val="4D04165B"/>
    <w:rsid w:val="4D2816C9"/>
    <w:rsid w:val="4D7F5185"/>
    <w:rsid w:val="4FC21359"/>
    <w:rsid w:val="50811214"/>
    <w:rsid w:val="522922D6"/>
    <w:rsid w:val="537C3101"/>
    <w:rsid w:val="5435659E"/>
    <w:rsid w:val="54FE5CA5"/>
    <w:rsid w:val="56243FC9"/>
    <w:rsid w:val="563D51F2"/>
    <w:rsid w:val="56646DA2"/>
    <w:rsid w:val="56F664B8"/>
    <w:rsid w:val="59BFD38B"/>
    <w:rsid w:val="5A331BD0"/>
    <w:rsid w:val="5AB3646E"/>
    <w:rsid w:val="5AD7109F"/>
    <w:rsid w:val="5B3A093D"/>
    <w:rsid w:val="5C0C4088"/>
    <w:rsid w:val="5CC70BD7"/>
    <w:rsid w:val="5EB427B5"/>
    <w:rsid w:val="5F681F1D"/>
    <w:rsid w:val="5F9A19AB"/>
    <w:rsid w:val="60264CC4"/>
    <w:rsid w:val="60A70823"/>
    <w:rsid w:val="60C76855"/>
    <w:rsid w:val="63FE4628"/>
    <w:rsid w:val="66061B48"/>
    <w:rsid w:val="66143547"/>
    <w:rsid w:val="66E0683D"/>
    <w:rsid w:val="66F8A4F1"/>
    <w:rsid w:val="675B5EC3"/>
    <w:rsid w:val="68923B67"/>
    <w:rsid w:val="68F93BE6"/>
    <w:rsid w:val="69EE1271"/>
    <w:rsid w:val="6A0D5B9B"/>
    <w:rsid w:val="6B1C2E4C"/>
    <w:rsid w:val="6D0439DE"/>
    <w:rsid w:val="6DF38392"/>
    <w:rsid w:val="6DFFA767"/>
    <w:rsid w:val="6E094833"/>
    <w:rsid w:val="6E2E127E"/>
    <w:rsid w:val="6F0B6421"/>
    <w:rsid w:val="6F195BAE"/>
    <w:rsid w:val="6F4F252A"/>
    <w:rsid w:val="6FBB4455"/>
    <w:rsid w:val="70B34FC2"/>
    <w:rsid w:val="716B1DDB"/>
    <w:rsid w:val="72674575"/>
    <w:rsid w:val="73D414D7"/>
    <w:rsid w:val="766F3739"/>
    <w:rsid w:val="78000AED"/>
    <w:rsid w:val="78434E7D"/>
    <w:rsid w:val="78623B81"/>
    <w:rsid w:val="788B5211"/>
    <w:rsid w:val="79F71A7C"/>
    <w:rsid w:val="7A6D61E2"/>
    <w:rsid w:val="7AB44CDF"/>
    <w:rsid w:val="7B914152"/>
    <w:rsid w:val="7CDF6D2A"/>
    <w:rsid w:val="7CE24C65"/>
    <w:rsid w:val="7D0A5D2F"/>
    <w:rsid w:val="7E4955AD"/>
    <w:rsid w:val="7E6D4654"/>
    <w:rsid w:val="7EDA5F61"/>
    <w:rsid w:val="7FAB3A34"/>
    <w:rsid w:val="7FD30895"/>
    <w:rsid w:val="7FF76C79"/>
    <w:rsid w:val="B6DF68F6"/>
    <w:rsid w:val="BEBFB39E"/>
    <w:rsid w:val="C3FF4216"/>
    <w:rsid w:val="D6DFE7AD"/>
    <w:rsid w:val="EFBD1233"/>
    <w:rsid w:val="FAFFC542"/>
    <w:rsid w:val="FD7E7466"/>
    <w:rsid w:val="FEDC6779"/>
    <w:rsid w:val="FFFE1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spacing w:after="0"/>
      <w:ind w:firstLine="420" w:firstLineChars="200"/>
    </w:pPr>
    <w:rPr>
      <w:rFonts w:ascii="Calibri" w:hAnsi="Calibri" w:eastAsia="宋体"/>
    </w:rPr>
  </w:style>
  <w:style w:type="paragraph" w:styleId="3">
    <w:name w:val="Body Text Indent"/>
    <w:basedOn w:val="1"/>
    <w:next w:val="2"/>
    <w:unhideWhenUsed/>
    <w:qFormat/>
    <w:uiPriority w:val="99"/>
    <w:pPr>
      <w:spacing w:after="120"/>
      <w:ind w:left="420" w:leftChars="200"/>
    </w:pPr>
  </w:style>
  <w:style w:type="paragraph" w:styleId="5">
    <w:name w:val="Normal Indent"/>
    <w:basedOn w:val="1"/>
    <w:semiHidden/>
    <w:qFormat/>
    <w:uiPriority w:val="99"/>
    <w:pPr>
      <w:ind w:firstLine="420"/>
    </w:pPr>
  </w:style>
  <w:style w:type="paragraph" w:styleId="6">
    <w:name w:val="annotation text"/>
    <w:basedOn w:val="1"/>
    <w:link w:val="35"/>
    <w:unhideWhenUsed/>
    <w:qFormat/>
    <w:uiPriority w:val="99"/>
    <w:pPr>
      <w:jc w:val="left"/>
    </w:pPr>
  </w:style>
  <w:style w:type="paragraph" w:styleId="7">
    <w:name w:val="Body Text"/>
    <w:basedOn w:val="1"/>
    <w:link w:val="32"/>
    <w:unhideWhenUsed/>
    <w:qFormat/>
    <w:uiPriority w:val="99"/>
    <w:pPr>
      <w:spacing w:after="120"/>
    </w:p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tabs>
        <w:tab w:val="center" w:pos="4153"/>
        <w:tab w:val="right" w:pos="8306"/>
      </w:tabs>
      <w:snapToGrid w:val="0"/>
      <w:jc w:val="center"/>
    </w:pPr>
    <w:rPr>
      <w:sz w:val="18"/>
      <w:szCs w:val="18"/>
    </w:rPr>
  </w:style>
  <w:style w:type="paragraph" w:styleId="10">
    <w:name w:val="footnote text"/>
    <w:basedOn w:val="1"/>
    <w:link w:val="34"/>
    <w:semiHidden/>
    <w:unhideWhenUsed/>
    <w:qFormat/>
    <w:uiPriority w:val="99"/>
    <w:pPr>
      <w:snapToGrid w:val="0"/>
      <w:jc w:val="left"/>
    </w:pPr>
    <w:rPr>
      <w:sz w:val="18"/>
      <w:szCs w:val="18"/>
    </w:rPr>
  </w:style>
  <w:style w:type="paragraph" w:styleId="11">
    <w:name w:val="annotation subject"/>
    <w:basedOn w:val="6"/>
    <w:next w:val="6"/>
    <w:link w:val="36"/>
    <w:semiHidden/>
    <w:unhideWhenUsed/>
    <w:qFormat/>
    <w:uiPriority w:val="99"/>
    <w:rPr>
      <w:b/>
      <w:bCs/>
    </w:rPr>
  </w:style>
  <w:style w:type="table" w:styleId="13">
    <w:name w:val="Table Grid"/>
    <w:basedOn w:val="12"/>
    <w:qFormat/>
    <w:uiPriority w:val="59"/>
    <w:rPr>
      <w:rFonts w:ascii="Calibri" w:hAnsi="Calibri"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20"/>
    <w:rPr>
      <w:i/>
      <w:iCs/>
    </w:rPr>
  </w:style>
  <w:style w:type="character" w:styleId="16">
    <w:name w:val="annotation reference"/>
    <w:basedOn w:val="14"/>
    <w:semiHidden/>
    <w:unhideWhenUsed/>
    <w:qFormat/>
    <w:uiPriority w:val="99"/>
    <w:rPr>
      <w:sz w:val="21"/>
      <w:szCs w:val="21"/>
    </w:rPr>
  </w:style>
  <w:style w:type="character" w:styleId="17">
    <w:name w:val="footnote reference"/>
    <w:basedOn w:val="14"/>
    <w:semiHidden/>
    <w:unhideWhenUsed/>
    <w:qFormat/>
    <w:uiPriority w:val="99"/>
    <w:rPr>
      <w:vertAlign w:val="superscript"/>
    </w:rPr>
  </w:style>
  <w:style w:type="paragraph" w:customStyle="1" w:styleId="18">
    <w:name w:val="文本"/>
    <w:basedOn w:val="1"/>
    <w:next w:val="5"/>
    <w:qFormat/>
    <w:uiPriority w:val="99"/>
    <w:pPr>
      <w:spacing w:line="360" w:lineRule="auto"/>
      <w:ind w:firstLine="480"/>
    </w:pPr>
    <w:rPr>
      <w:sz w:val="24"/>
    </w:rPr>
  </w:style>
  <w:style w:type="paragraph" w:customStyle="1" w:styleId="19">
    <w:name w:val="中农毕业论文3级标题"/>
    <w:basedOn w:val="4"/>
    <w:qFormat/>
    <w:uiPriority w:val="0"/>
    <w:pPr>
      <w:tabs>
        <w:tab w:val="left" w:pos="561"/>
        <w:tab w:val="left" w:pos="720"/>
      </w:tabs>
      <w:overflowPunct w:val="0"/>
      <w:spacing w:before="100" w:beforeLines="100" w:after="100" w:afterLines="100" w:line="400" w:lineRule="exact"/>
      <w:jc w:val="left"/>
    </w:pPr>
    <w:rPr>
      <w:rFonts w:ascii="Times New Roman" w:hAnsi="Times New Roman" w:eastAsia="黑体" w:cs="Times New Roman"/>
      <w:b w:val="0"/>
      <w:bCs w:val="0"/>
      <w:sz w:val="24"/>
      <w:szCs w:val="20"/>
    </w:rPr>
  </w:style>
  <w:style w:type="character" w:customStyle="1" w:styleId="20">
    <w:name w:val="标题 3 字符"/>
    <w:basedOn w:val="14"/>
    <w:link w:val="4"/>
    <w:semiHidden/>
    <w:qFormat/>
    <w:uiPriority w:val="9"/>
    <w:rPr>
      <w:b/>
      <w:bCs/>
      <w:sz w:val="32"/>
      <w:szCs w:val="32"/>
    </w:rPr>
  </w:style>
  <w:style w:type="character" w:customStyle="1" w:styleId="21">
    <w:name w:val="fontstyle01"/>
    <w:basedOn w:val="14"/>
    <w:qFormat/>
    <w:uiPriority w:val="0"/>
    <w:rPr>
      <w:rFonts w:hint="eastAsia" w:ascii="仿宋_GB2312" w:eastAsia="仿宋_GB2312"/>
      <w:color w:val="000000"/>
      <w:sz w:val="32"/>
      <w:szCs w:val="32"/>
    </w:rPr>
  </w:style>
  <w:style w:type="character" w:customStyle="1" w:styleId="22">
    <w:name w:val="fontstyle21"/>
    <w:basedOn w:val="14"/>
    <w:qFormat/>
    <w:uiPriority w:val="0"/>
    <w:rPr>
      <w:rFonts w:hint="default" w:ascii="TimesNewRomanPSMT" w:hAnsi="TimesNewRomanPSMT"/>
      <w:color w:val="000000"/>
      <w:sz w:val="32"/>
      <w:szCs w:val="32"/>
    </w:rPr>
  </w:style>
  <w:style w:type="paragraph" w:customStyle="1" w:styleId="23">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4">
    <w:name w:val="页眉 字符"/>
    <w:basedOn w:val="14"/>
    <w:link w:val="9"/>
    <w:qFormat/>
    <w:uiPriority w:val="99"/>
    <w:rPr>
      <w:sz w:val="18"/>
      <w:szCs w:val="18"/>
    </w:rPr>
  </w:style>
  <w:style w:type="character" w:customStyle="1" w:styleId="25">
    <w:name w:val="页脚 字符"/>
    <w:basedOn w:val="14"/>
    <w:link w:val="8"/>
    <w:qFormat/>
    <w:uiPriority w:val="99"/>
    <w:rPr>
      <w:sz w:val="18"/>
      <w:szCs w:val="18"/>
    </w:rPr>
  </w:style>
  <w:style w:type="table" w:customStyle="1" w:styleId="26">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27">
    <w:name w:val="Table Paragraph"/>
    <w:basedOn w:val="1"/>
    <w:qFormat/>
    <w:uiPriority w:val="1"/>
    <w:pPr>
      <w:autoSpaceDE w:val="0"/>
      <w:autoSpaceDN w:val="0"/>
      <w:jc w:val="left"/>
    </w:pPr>
    <w:rPr>
      <w:rFonts w:ascii="仿宋_GB2312" w:hAnsi="仿宋_GB2312" w:eastAsia="仿宋_GB2312" w:cs="仿宋_GB2312"/>
      <w:kern w:val="0"/>
      <w:sz w:val="22"/>
    </w:rPr>
  </w:style>
  <w:style w:type="paragraph" w:customStyle="1" w:styleId="28">
    <w:name w:val="b63ee27f-4cf3-414c-9275-d88e3f90795e"/>
    <w:basedOn w:val="4"/>
    <w:next w:val="29"/>
    <w:link w:val="30"/>
    <w:qFormat/>
    <w:uiPriority w:val="0"/>
    <w:pPr>
      <w:adjustRightInd w:val="0"/>
      <w:spacing w:before="0" w:after="0" w:line="288" w:lineRule="auto"/>
      <w:jc w:val="left"/>
    </w:pPr>
    <w:rPr>
      <w:rFonts w:ascii="微软雅黑" w:hAnsi="微软雅黑" w:eastAsia="微软雅黑"/>
      <w:bCs w:val="0"/>
      <w:color w:val="000000"/>
      <w:sz w:val="26"/>
    </w:rPr>
  </w:style>
  <w:style w:type="paragraph" w:customStyle="1" w:styleId="29">
    <w:name w:val="acbfdd8b-e11b-4d36-88ff-6049b138f862"/>
    <w:basedOn w:val="7"/>
    <w:link w:val="31"/>
    <w:qFormat/>
    <w:uiPriority w:val="0"/>
    <w:pPr>
      <w:adjustRightInd w:val="0"/>
      <w:spacing w:after="0" w:line="288" w:lineRule="auto"/>
      <w:jc w:val="left"/>
    </w:pPr>
    <w:rPr>
      <w:rFonts w:ascii="微软雅黑" w:hAnsi="微软雅黑" w:eastAsia="微软雅黑"/>
      <w:bCs/>
      <w:color w:val="000000"/>
      <w:sz w:val="22"/>
      <w:szCs w:val="32"/>
    </w:rPr>
  </w:style>
  <w:style w:type="character" w:customStyle="1" w:styleId="30">
    <w:name w:val="b63ee27f-4cf3-414c-9275-d88e3f90795e 字符"/>
    <w:basedOn w:val="14"/>
    <w:link w:val="28"/>
    <w:qFormat/>
    <w:uiPriority w:val="0"/>
    <w:rPr>
      <w:rFonts w:ascii="微软雅黑" w:hAnsi="微软雅黑" w:eastAsia="微软雅黑"/>
      <w:b/>
      <w:color w:val="000000"/>
      <w:sz w:val="26"/>
      <w:szCs w:val="32"/>
    </w:rPr>
  </w:style>
  <w:style w:type="character" w:customStyle="1" w:styleId="31">
    <w:name w:val="acbfdd8b-e11b-4d36-88ff-6049b138f862 字符"/>
    <w:basedOn w:val="14"/>
    <w:link w:val="29"/>
    <w:qFormat/>
    <w:uiPriority w:val="0"/>
    <w:rPr>
      <w:rFonts w:ascii="微软雅黑" w:hAnsi="微软雅黑" w:eastAsia="微软雅黑"/>
      <w:bCs/>
      <w:color w:val="000000"/>
      <w:sz w:val="22"/>
      <w:szCs w:val="32"/>
    </w:rPr>
  </w:style>
  <w:style w:type="character" w:customStyle="1" w:styleId="32">
    <w:name w:val="正文文本 字符"/>
    <w:basedOn w:val="14"/>
    <w:link w:val="7"/>
    <w:qFormat/>
    <w:uiPriority w:val="99"/>
  </w:style>
  <w:style w:type="character" w:customStyle="1" w:styleId="33">
    <w:name w:val="fontstyle11"/>
    <w:basedOn w:val="14"/>
    <w:qFormat/>
    <w:uiPriority w:val="0"/>
    <w:rPr>
      <w:rFonts w:hint="default" w:ascii="MicrosoftYaHei-Bold" w:hAnsi="MicrosoftYaHei-Bold"/>
      <w:b/>
      <w:bCs/>
      <w:color w:val="333333"/>
      <w:sz w:val="16"/>
      <w:szCs w:val="16"/>
    </w:rPr>
  </w:style>
  <w:style w:type="character" w:customStyle="1" w:styleId="34">
    <w:name w:val="脚注文本 字符"/>
    <w:basedOn w:val="14"/>
    <w:link w:val="10"/>
    <w:semiHidden/>
    <w:qFormat/>
    <w:uiPriority w:val="99"/>
    <w:rPr>
      <w:kern w:val="2"/>
      <w:sz w:val="18"/>
      <w:szCs w:val="18"/>
    </w:rPr>
  </w:style>
  <w:style w:type="character" w:customStyle="1" w:styleId="35">
    <w:name w:val="批注文字 字符"/>
    <w:basedOn w:val="14"/>
    <w:link w:val="6"/>
    <w:qFormat/>
    <w:uiPriority w:val="99"/>
    <w:rPr>
      <w:kern w:val="2"/>
      <w:sz w:val="21"/>
      <w:szCs w:val="22"/>
    </w:rPr>
  </w:style>
  <w:style w:type="character" w:customStyle="1" w:styleId="36">
    <w:name w:val="批注主题 字符"/>
    <w:basedOn w:val="35"/>
    <w:link w:val="11"/>
    <w:semiHidden/>
    <w:qFormat/>
    <w:uiPriority w:val="99"/>
    <w:rPr>
      <w:b/>
      <w:bCs/>
      <w:kern w:val="2"/>
      <w:sz w:val="21"/>
      <w:szCs w:val="22"/>
    </w:rPr>
  </w:style>
  <w:style w:type="character" w:customStyle="1" w:styleId="37">
    <w:name w:val="font11"/>
    <w:basedOn w:val="14"/>
    <w:qFormat/>
    <w:uiPriority w:val="0"/>
    <w:rPr>
      <w:rFonts w:hint="eastAsia" w:ascii="黑体" w:hAnsi="宋体" w:eastAsia="黑体" w:cs="黑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2629</Words>
  <Characters>2773</Characters>
  <Lines>19</Lines>
  <Paragraphs>5</Paragraphs>
  <TotalTime>14</TotalTime>
  <ScaleCrop>false</ScaleCrop>
  <LinksUpToDate>false</LinksUpToDate>
  <CharactersWithSpaces>2838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2024-08-12T17:12:00Z</dcterms:created>
  <dc:creator>薪玉 雷</dc:creator>
  <cp:lastModifiedBy>user</cp:lastModifiedBy>
  <cp:lastPrinted>2024-11-21T11:33:00Z</cp:lastPrinted>
  <dcterms:modified xsi:type="dcterms:W3CDTF">2024-11-21T14:20:52Z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4796F1459ECF42F6BACC86C00230BE3E_13</vt:lpwstr>
  </property>
</Properties>
</file>