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2DFDF" w14:textId="77777777" w:rsidR="007C78E9" w:rsidRDefault="00C42C3F">
      <w:pPr>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成都高新区</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年促进商贸业稳增长措施</w:t>
      </w:r>
    </w:p>
    <w:p w14:paraId="520C2A66" w14:textId="77777777" w:rsidR="007C78E9" w:rsidRDefault="007C78E9">
      <w:pPr>
        <w:spacing w:line="360" w:lineRule="exact"/>
        <w:jc w:val="center"/>
        <w:rPr>
          <w:rFonts w:ascii="Times New Roman" w:eastAsia="方正楷体_GBK" w:hAnsi="Times New Roman" w:cs="Times New Roman"/>
          <w:sz w:val="32"/>
          <w:szCs w:val="32"/>
        </w:rPr>
      </w:pPr>
    </w:p>
    <w:p w14:paraId="4871D07E" w14:textId="77777777" w:rsidR="007C78E9" w:rsidRDefault="00C42C3F">
      <w:pPr>
        <w:spacing w:line="36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征求</w:t>
      </w:r>
      <w:r>
        <w:rPr>
          <w:rFonts w:ascii="Times New Roman" w:eastAsia="方正楷体_GBK" w:hAnsi="Times New Roman" w:cs="Times New Roman"/>
          <w:sz w:val="32"/>
          <w:szCs w:val="32"/>
        </w:rPr>
        <w:t>意见稿）</w:t>
      </w:r>
    </w:p>
    <w:p w14:paraId="05905AB0" w14:textId="77777777" w:rsidR="007C78E9" w:rsidRDefault="007C78E9">
      <w:pPr>
        <w:spacing w:line="360" w:lineRule="exact"/>
        <w:rPr>
          <w:rFonts w:ascii="Times New Roman" w:eastAsia="方正仿宋_GBK" w:hAnsi="Times New Roman" w:cs="Times New Roman"/>
          <w:sz w:val="32"/>
          <w:szCs w:val="32"/>
        </w:rPr>
      </w:pPr>
    </w:p>
    <w:p w14:paraId="5EA86CA0" w14:textId="77777777" w:rsidR="007C78E9" w:rsidRDefault="00C42C3F">
      <w:pPr>
        <w:spacing w:line="590" w:lineRule="exact"/>
        <w:ind w:firstLine="645"/>
        <w:rPr>
          <w:rFonts w:ascii="方正仿宋" w:eastAsia="方正仿宋" w:hAnsi="方正仿宋" w:cs="方正仿宋"/>
          <w:sz w:val="32"/>
          <w:szCs w:val="32"/>
        </w:rPr>
      </w:pPr>
      <w:r>
        <w:rPr>
          <w:rFonts w:ascii="方正仿宋" w:eastAsia="方正仿宋" w:hAnsi="方正仿宋" w:cs="方正仿宋" w:hint="eastAsia"/>
          <w:sz w:val="32"/>
          <w:szCs w:val="32"/>
        </w:rPr>
        <w:t>为全面落实党的二十大和二十届二中、三中全会精神，进一步落实好四川省关于推动经济持续回升向好的若干政策措施和成都市经济工作部署，聚焦扩大有效需求，激发市场主体活力，全力促进商贸企业增量提质，结合高新区实际制定如下措施。</w:t>
      </w:r>
    </w:p>
    <w:p w14:paraId="4BA2E249" w14:textId="77777777" w:rsidR="007C78E9" w:rsidRDefault="00C42C3F">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本措施适用于在成都高新区从事经营活动，具有健全的财务制度，并符合相关条件的企业。</w:t>
      </w:r>
    </w:p>
    <w:p w14:paraId="78D47CC9" w14:textId="77777777" w:rsidR="007C78E9" w:rsidRDefault="00C42C3F">
      <w:pPr>
        <w:spacing w:line="590" w:lineRule="exact"/>
        <w:ind w:left="640"/>
        <w:rPr>
          <w:rFonts w:ascii="黑体" w:eastAsia="黑体" w:hAnsi="黑体" w:cs="黑体"/>
          <w:sz w:val="32"/>
          <w:szCs w:val="32"/>
        </w:rPr>
      </w:pPr>
      <w:r>
        <w:rPr>
          <w:rFonts w:ascii="黑体" w:eastAsia="黑体" w:hAnsi="黑体" w:cs="黑体" w:hint="eastAsia"/>
          <w:sz w:val="32"/>
          <w:szCs w:val="32"/>
        </w:rPr>
        <w:t>一、支持批发企业上台阶</w:t>
      </w:r>
    </w:p>
    <w:p w14:paraId="460A7CB3" w14:textId="77777777" w:rsidR="007C78E9" w:rsidRDefault="00C42C3F">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年四季度</w:t>
      </w:r>
      <w:r>
        <w:rPr>
          <w:rFonts w:ascii="Times New Roman" w:eastAsia="方正仿宋_GBK" w:hAnsi="Times New Roman" w:cs="Times New Roman" w:hint="eastAsia"/>
          <w:sz w:val="32"/>
          <w:szCs w:val="32"/>
        </w:rPr>
        <w:t>及</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年一季度</w:t>
      </w:r>
      <w:r>
        <w:rPr>
          <w:rFonts w:ascii="Times New Roman" w:eastAsia="方正仿宋_GBK" w:hAnsi="Times New Roman" w:cs="Times New Roman" w:hint="eastAsia"/>
          <w:sz w:val="32"/>
          <w:szCs w:val="32"/>
        </w:rPr>
        <w:t>期间，单季度销售额规模</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亿元以上、</w:t>
      </w:r>
      <w:r>
        <w:rPr>
          <w:rFonts w:ascii="Times New Roman" w:eastAsia="方正仿宋_GBK" w:hAnsi="Times New Roman" w:cs="Times New Roman"/>
          <w:sz w:val="32"/>
          <w:szCs w:val="32"/>
        </w:rPr>
        <w:t>按其销售额</w:t>
      </w:r>
      <w:r>
        <w:rPr>
          <w:rFonts w:ascii="Times New Roman" w:eastAsia="方正仿宋_GBK" w:hAnsi="Times New Roman" w:cs="Times New Roman" w:hint="eastAsia"/>
          <w:sz w:val="32"/>
          <w:szCs w:val="32"/>
        </w:rPr>
        <w:t>较上年</w:t>
      </w:r>
      <w:r>
        <w:rPr>
          <w:rFonts w:ascii="Times New Roman" w:eastAsia="方正仿宋_GBK" w:hAnsi="Times New Roman" w:cs="Times New Roman"/>
          <w:sz w:val="32"/>
          <w:szCs w:val="32"/>
        </w:rPr>
        <w:t>同期每增长</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w:t>
      </w:r>
      <w:r>
        <w:rPr>
          <w:rFonts w:ascii="Times New Roman" w:eastAsia="方正仿宋_GBK" w:hAnsi="Times New Roman" w:cs="Times New Roman"/>
          <w:sz w:val="32"/>
          <w:szCs w:val="32"/>
        </w:rPr>
        <w:t>，给予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万元奖励，单个企业单季度奖励不超过</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万元。</w:t>
      </w:r>
    </w:p>
    <w:p w14:paraId="0F9FE440" w14:textId="58242726" w:rsidR="007C78E9" w:rsidRDefault="00C42C3F">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二、支持零售企业</w:t>
      </w:r>
      <w:r w:rsidR="004B4316">
        <w:rPr>
          <w:rFonts w:ascii="黑体" w:eastAsia="黑体" w:hAnsi="黑体" w:cs="黑体" w:hint="eastAsia"/>
          <w:sz w:val="32"/>
          <w:szCs w:val="32"/>
        </w:rPr>
        <w:t>做大做强</w:t>
      </w:r>
    </w:p>
    <w:p w14:paraId="41F498A7" w14:textId="0B148B89" w:rsidR="007C78E9" w:rsidRDefault="00C42C3F">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年四季度</w:t>
      </w:r>
      <w:r>
        <w:rPr>
          <w:rFonts w:ascii="Times New Roman" w:eastAsia="方正仿宋_GBK" w:hAnsi="Times New Roman" w:cs="Times New Roman" w:hint="eastAsia"/>
          <w:sz w:val="32"/>
          <w:szCs w:val="32"/>
        </w:rPr>
        <w:t>及</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年一季度</w:t>
      </w:r>
      <w:r>
        <w:rPr>
          <w:rFonts w:ascii="Times New Roman" w:eastAsia="方正仿宋_GBK" w:hAnsi="Times New Roman" w:cs="Times New Roman" w:hint="eastAsia"/>
          <w:sz w:val="32"/>
          <w:szCs w:val="32"/>
        </w:rPr>
        <w:t>期间，单季度零售</w:t>
      </w:r>
      <w:r>
        <w:rPr>
          <w:rFonts w:ascii="Times New Roman" w:eastAsia="方正仿宋_GBK" w:hAnsi="Times New Roman" w:cs="Times New Roman"/>
          <w:sz w:val="32"/>
          <w:szCs w:val="32"/>
        </w:rPr>
        <w:t>额规模</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亿元以上</w:t>
      </w:r>
      <w:r>
        <w:rPr>
          <w:rFonts w:ascii="Times New Roman" w:eastAsia="方正仿宋_GBK" w:hAnsi="Times New Roman" w:cs="Times New Roman"/>
          <w:sz w:val="32"/>
          <w:szCs w:val="32"/>
        </w:rPr>
        <w:t>，按其零售额</w:t>
      </w:r>
      <w:r>
        <w:rPr>
          <w:rFonts w:ascii="Times New Roman" w:eastAsia="方正仿宋_GBK" w:hAnsi="Times New Roman" w:cs="Times New Roman" w:hint="eastAsia"/>
          <w:sz w:val="32"/>
          <w:szCs w:val="32"/>
        </w:rPr>
        <w:t>较上年</w:t>
      </w:r>
      <w:r>
        <w:rPr>
          <w:rFonts w:ascii="Times New Roman" w:eastAsia="方正仿宋_GBK" w:hAnsi="Times New Roman" w:cs="Times New Roman"/>
          <w:sz w:val="32"/>
          <w:szCs w:val="32"/>
        </w:rPr>
        <w:t>同期每增长</w:t>
      </w:r>
      <w:r>
        <w:rPr>
          <w:rFonts w:ascii="Times New Roman" w:eastAsia="方正仿宋_GBK" w:hAnsi="Times New Roman" w:cs="Times New Roman"/>
          <w:sz w:val="32"/>
          <w:szCs w:val="32"/>
        </w:rPr>
        <w:t>2000</w:t>
      </w:r>
      <w:r>
        <w:rPr>
          <w:rFonts w:ascii="Times New Roman" w:eastAsia="方正仿宋_GBK" w:hAnsi="Times New Roman" w:cs="Times New Roman" w:hint="eastAsia"/>
          <w:sz w:val="32"/>
          <w:szCs w:val="32"/>
        </w:rPr>
        <w:t>万</w:t>
      </w:r>
      <w:r>
        <w:rPr>
          <w:rFonts w:ascii="Times New Roman" w:eastAsia="方正仿宋_GBK" w:hAnsi="Times New Roman" w:cs="Times New Roman"/>
          <w:sz w:val="32"/>
          <w:szCs w:val="32"/>
        </w:rPr>
        <w:t>元，给予</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万元奖励，单个企业单季度奖励不超过</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w:t>
      </w:r>
    </w:p>
    <w:p w14:paraId="0D3208B2" w14:textId="77777777" w:rsidR="007C78E9" w:rsidRDefault="00C42C3F">
      <w:pPr>
        <w:spacing w:line="590" w:lineRule="exact"/>
        <w:ind w:firstLine="645"/>
        <w:rPr>
          <w:rFonts w:ascii="黑体" w:eastAsia="黑体" w:hAnsi="黑体" w:cs="黑体"/>
          <w:sz w:val="32"/>
          <w:szCs w:val="32"/>
        </w:rPr>
      </w:pPr>
      <w:bookmarkStart w:id="0" w:name="_GoBack"/>
      <w:bookmarkEnd w:id="0"/>
      <w:r>
        <w:rPr>
          <w:rFonts w:ascii="黑体" w:eastAsia="黑体" w:hAnsi="黑体" w:cs="黑体" w:hint="eastAsia"/>
          <w:sz w:val="32"/>
          <w:szCs w:val="32"/>
        </w:rPr>
        <w:t>三、支持餐饮企业扩大经营</w:t>
      </w:r>
    </w:p>
    <w:p w14:paraId="23FAED0A" w14:textId="23539E00" w:rsidR="007C78E9" w:rsidRDefault="00C42C3F">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年四季度</w:t>
      </w:r>
      <w:r>
        <w:rPr>
          <w:rFonts w:ascii="Times New Roman" w:eastAsia="方正仿宋_GBK" w:hAnsi="Times New Roman" w:cs="Times New Roman" w:hint="eastAsia"/>
          <w:sz w:val="32"/>
          <w:szCs w:val="32"/>
        </w:rPr>
        <w:t>及</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年一季度</w:t>
      </w:r>
      <w:r>
        <w:rPr>
          <w:rFonts w:ascii="Times New Roman" w:eastAsia="方正仿宋_GBK" w:hAnsi="Times New Roman" w:cs="Times New Roman" w:hint="eastAsia"/>
          <w:sz w:val="32"/>
          <w:szCs w:val="32"/>
        </w:rPr>
        <w:t>期间，单季度营业额</w:t>
      </w:r>
      <w:r>
        <w:rPr>
          <w:rFonts w:ascii="Times New Roman" w:eastAsia="方正仿宋_GBK" w:hAnsi="Times New Roman" w:cs="Times New Roman"/>
          <w:sz w:val="32"/>
          <w:szCs w:val="32"/>
        </w:rPr>
        <w:t>规模</w:t>
      </w:r>
      <w:r>
        <w:rPr>
          <w:rFonts w:ascii="Times New Roman" w:eastAsia="方正仿宋_GBK" w:hAnsi="Times New Roman" w:cs="Times New Roman"/>
          <w:sz w:val="32"/>
          <w:szCs w:val="32"/>
        </w:rPr>
        <w:t>2000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以上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按其营业额</w:t>
      </w:r>
      <w:r>
        <w:rPr>
          <w:rFonts w:ascii="Times New Roman" w:eastAsia="方正仿宋_GBK" w:hAnsi="Times New Roman" w:cs="Times New Roman" w:hint="eastAsia"/>
          <w:sz w:val="32"/>
          <w:szCs w:val="32"/>
        </w:rPr>
        <w:t>较上年</w:t>
      </w:r>
      <w:r>
        <w:rPr>
          <w:rFonts w:ascii="Times New Roman" w:eastAsia="方正仿宋_GBK" w:hAnsi="Times New Roman" w:cs="Times New Roman"/>
          <w:sz w:val="32"/>
          <w:szCs w:val="32"/>
        </w:rPr>
        <w:t>同期每增长</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万元，给予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万元奖励，单个企业单季度奖励不超过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p>
    <w:p w14:paraId="5D7A0475" w14:textId="77777777" w:rsidR="007C78E9" w:rsidRDefault="00C42C3F">
      <w:pPr>
        <w:spacing w:line="590" w:lineRule="exact"/>
        <w:ind w:firstLine="645"/>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四、支持传统服务业</w:t>
      </w:r>
      <w:r>
        <w:rPr>
          <w:rFonts w:ascii="方正黑体_GBK" w:eastAsia="方正黑体_GBK" w:hAnsi="Times New Roman" w:cs="Times New Roman"/>
          <w:sz w:val="32"/>
          <w:szCs w:val="32"/>
        </w:rPr>
        <w:t>企业</w:t>
      </w:r>
      <w:r>
        <w:rPr>
          <w:rFonts w:ascii="方正黑体_GBK" w:eastAsia="方正黑体_GBK" w:hAnsi="Times New Roman" w:cs="Times New Roman" w:hint="eastAsia"/>
          <w:sz w:val="32"/>
          <w:szCs w:val="32"/>
        </w:rPr>
        <w:t>转型</w:t>
      </w:r>
    </w:p>
    <w:p w14:paraId="426147E6" w14:textId="77777777" w:rsidR="007C78E9" w:rsidRDefault="00C42C3F">
      <w:pPr>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四季度</w:t>
      </w:r>
      <w:r>
        <w:rPr>
          <w:rFonts w:ascii="Times New Roman" w:eastAsia="方正仿宋_GBK" w:hAnsi="Times New Roman" w:cs="Times New Roman" w:hint="eastAsia"/>
          <w:sz w:val="32"/>
          <w:szCs w:val="32"/>
        </w:rPr>
        <w:t>至</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一季度期间，</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成都高新区</w:t>
      </w:r>
      <w:r>
        <w:rPr>
          <w:rFonts w:ascii="Times New Roman" w:eastAsia="方正仿宋_GBK" w:hAnsi="Times New Roman" w:cs="Times New Roman" w:hint="eastAsia"/>
          <w:sz w:val="32"/>
          <w:szCs w:val="32"/>
        </w:rPr>
        <w:t>内经营</w:t>
      </w:r>
      <w:r>
        <w:rPr>
          <w:rFonts w:ascii="Times New Roman" w:eastAsia="方正仿宋_GBK" w:hAnsi="Times New Roman" w:cs="Times New Roman"/>
          <w:sz w:val="32"/>
          <w:szCs w:val="32"/>
        </w:rPr>
        <w:lastRenderedPageBreak/>
        <w:t>的商业综合体、商业街区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连锁企业等</w:t>
      </w:r>
      <w:r>
        <w:rPr>
          <w:rFonts w:ascii="Times New Roman" w:eastAsia="方正仿宋_GBK" w:hAnsi="Times New Roman" w:cs="Times New Roman" w:hint="eastAsia"/>
          <w:sz w:val="32"/>
          <w:szCs w:val="32"/>
        </w:rPr>
        <w:t>转型发展</w:t>
      </w:r>
      <w:r>
        <w:rPr>
          <w:rFonts w:ascii="Times New Roman" w:eastAsia="方正仿宋_GBK" w:hAnsi="Times New Roman" w:cs="Times New Roman"/>
          <w:sz w:val="32"/>
          <w:szCs w:val="32"/>
        </w:rPr>
        <w:t>，采取</w:t>
      </w:r>
      <w:r>
        <w:rPr>
          <w:rFonts w:ascii="Times New Roman" w:eastAsia="方正仿宋_GBK" w:hAnsi="Times New Roman" w:cs="Times New Roman" w:hint="eastAsia"/>
          <w:sz w:val="32"/>
          <w:szCs w:val="32"/>
        </w:rPr>
        <w:t>自营</w:t>
      </w:r>
      <w:r>
        <w:rPr>
          <w:rFonts w:ascii="Times New Roman" w:eastAsia="方正仿宋_GBK" w:hAnsi="Times New Roman" w:cs="Times New Roman"/>
          <w:sz w:val="32"/>
          <w:szCs w:val="32"/>
        </w:rPr>
        <w:t>、联营方式统一</w:t>
      </w:r>
      <w:r>
        <w:rPr>
          <w:rFonts w:ascii="Times New Roman" w:eastAsia="方正仿宋_GBK" w:hAnsi="Times New Roman" w:cs="Times New Roman" w:hint="eastAsia"/>
          <w:sz w:val="32"/>
          <w:szCs w:val="32"/>
        </w:rPr>
        <w:t>核算</w:t>
      </w:r>
      <w:r>
        <w:rPr>
          <w:rFonts w:ascii="Times New Roman" w:eastAsia="方正仿宋_GBK" w:hAnsi="Times New Roman" w:cs="Times New Roman"/>
          <w:sz w:val="32"/>
          <w:szCs w:val="32"/>
        </w:rPr>
        <w:t>并首次</w:t>
      </w:r>
      <w:r>
        <w:rPr>
          <w:rFonts w:ascii="Times New Roman" w:eastAsia="方正仿宋_GBK" w:hAnsi="Times New Roman" w:cs="Times New Roman" w:hint="eastAsia"/>
          <w:sz w:val="32"/>
          <w:szCs w:val="32"/>
        </w:rPr>
        <w:t>达限</w:t>
      </w:r>
      <w:r>
        <w:rPr>
          <w:rFonts w:ascii="Times New Roman" w:eastAsia="方正仿宋_GBK" w:hAnsi="Times New Roman" w:cs="Times New Roman"/>
          <w:sz w:val="32"/>
          <w:szCs w:val="32"/>
        </w:rPr>
        <w:t>入统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运营主体</w:t>
      </w:r>
      <w:r>
        <w:rPr>
          <w:rFonts w:ascii="Times New Roman" w:eastAsia="方正仿宋_GBK" w:hAnsi="Times New Roman" w:cs="Times New Roman"/>
          <w:sz w:val="32"/>
          <w:szCs w:val="32"/>
        </w:rPr>
        <w:t>单季度零售额</w:t>
      </w:r>
      <w:r>
        <w:rPr>
          <w:rFonts w:ascii="Times New Roman" w:eastAsia="方正仿宋_GBK" w:hAnsi="Times New Roman" w:cs="Times New Roman" w:hint="eastAsia"/>
          <w:sz w:val="32"/>
          <w:szCs w:val="32"/>
        </w:rPr>
        <w:t>规模及增量给予</w:t>
      </w:r>
      <w:r>
        <w:rPr>
          <w:rFonts w:ascii="Times New Roman" w:eastAsia="方正仿宋_GBK" w:hAnsi="Times New Roman" w:cs="Times New Roman"/>
          <w:sz w:val="32"/>
          <w:szCs w:val="32"/>
        </w:rPr>
        <w:t>奖励。</w:t>
      </w:r>
      <w:r>
        <w:rPr>
          <w:rFonts w:ascii="Times New Roman" w:eastAsia="方正仿宋_GBK" w:hAnsi="Times New Roman" w:cs="Times New Roman" w:hint="eastAsia"/>
          <w:sz w:val="32"/>
          <w:szCs w:val="32"/>
        </w:rPr>
        <w:t>零售额规模达</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亿元（含</w:t>
      </w:r>
      <w:r>
        <w:rPr>
          <w:rFonts w:ascii="Times New Roman" w:eastAsia="方正仿宋_GBK" w:hAnsi="Times New Roman" w:cs="Times New Roman"/>
          <w:sz w:val="32"/>
          <w:szCs w:val="32"/>
        </w:rPr>
        <w:t>）给予</w:t>
      </w:r>
      <w:r>
        <w:rPr>
          <w:rFonts w:ascii="Times New Roman" w:eastAsia="方正仿宋_GBK" w:hAnsi="Times New Roman" w:cs="Times New Roman"/>
          <w:sz w:val="32"/>
          <w:szCs w:val="32"/>
        </w:rPr>
        <w:t>100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奖励</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在此基础上，</w:t>
      </w:r>
      <w:r>
        <w:rPr>
          <w:rFonts w:ascii="Times New Roman" w:eastAsia="方正仿宋_GBK" w:hAnsi="Times New Roman" w:cs="Times New Roman" w:hint="eastAsia"/>
          <w:sz w:val="32"/>
          <w:szCs w:val="32"/>
        </w:rPr>
        <w:t>零售</w:t>
      </w:r>
      <w:r>
        <w:rPr>
          <w:rFonts w:ascii="Times New Roman" w:eastAsia="方正仿宋_GBK" w:hAnsi="Times New Roman" w:cs="Times New Roman"/>
          <w:sz w:val="32"/>
          <w:szCs w:val="32"/>
        </w:rPr>
        <w:t>额规模每增加</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含</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给予</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奖励，该方向单</w:t>
      </w:r>
      <w:r>
        <w:rPr>
          <w:rFonts w:ascii="Times New Roman" w:eastAsia="方正仿宋_GBK" w:hAnsi="Times New Roman" w:cs="Times New Roman" w:hint="eastAsia"/>
          <w:sz w:val="32"/>
          <w:szCs w:val="32"/>
        </w:rPr>
        <w:t>个</w:t>
      </w:r>
      <w:r>
        <w:rPr>
          <w:rFonts w:ascii="Times New Roman" w:eastAsia="方正仿宋_GBK" w:hAnsi="Times New Roman" w:cs="Times New Roman"/>
          <w:sz w:val="32"/>
          <w:szCs w:val="32"/>
        </w:rPr>
        <w:t>企业</w:t>
      </w:r>
      <w:r>
        <w:rPr>
          <w:rFonts w:ascii="Times New Roman" w:eastAsia="方正仿宋_GBK" w:hAnsi="Times New Roman" w:cs="Times New Roman" w:hint="eastAsia"/>
          <w:sz w:val="32"/>
          <w:szCs w:val="32"/>
        </w:rPr>
        <w:t>奖励</w:t>
      </w:r>
      <w:r>
        <w:rPr>
          <w:rFonts w:ascii="Times New Roman" w:eastAsia="方正仿宋_GBK" w:hAnsi="Times New Roman" w:cs="Times New Roman"/>
          <w:sz w:val="32"/>
          <w:szCs w:val="32"/>
        </w:rPr>
        <w:t>不超过</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该</w:t>
      </w:r>
      <w:r>
        <w:rPr>
          <w:rFonts w:ascii="Times New Roman" w:eastAsia="方正仿宋_GBK" w:hAnsi="Times New Roman" w:cs="Times New Roman"/>
          <w:sz w:val="32"/>
          <w:szCs w:val="32"/>
        </w:rPr>
        <w:t>方向与</w:t>
      </w:r>
      <w:r>
        <w:rPr>
          <w:rFonts w:ascii="Times New Roman" w:eastAsia="方正仿宋_GBK" w:hAnsi="Times New Roman" w:cs="Times New Roman" w:hint="eastAsia"/>
          <w:sz w:val="32"/>
          <w:szCs w:val="32"/>
        </w:rPr>
        <w:t>本</w:t>
      </w:r>
      <w:r>
        <w:rPr>
          <w:rFonts w:ascii="Times New Roman" w:eastAsia="方正仿宋_GBK" w:hAnsi="Times New Roman" w:cs="Times New Roman"/>
          <w:sz w:val="32"/>
          <w:szCs w:val="32"/>
        </w:rPr>
        <w:t>措施</w:t>
      </w:r>
      <w:r>
        <w:rPr>
          <w:rFonts w:ascii="Times New Roman" w:eastAsia="方正仿宋_GBK" w:hAnsi="Times New Roman" w:cs="Times New Roman" w:hint="eastAsia"/>
          <w:sz w:val="32"/>
          <w:szCs w:val="32"/>
        </w:rPr>
        <w:t>第二条“支持零售企业多做贡献”</w:t>
      </w:r>
      <w:r>
        <w:rPr>
          <w:rFonts w:ascii="Times New Roman" w:eastAsia="方正仿宋_GBK" w:hAnsi="Times New Roman" w:cs="Times New Roman"/>
          <w:sz w:val="32"/>
          <w:szCs w:val="32"/>
        </w:rPr>
        <w:t>条款不同时享受</w:t>
      </w:r>
      <w:r>
        <w:rPr>
          <w:rFonts w:ascii="Times New Roman" w:eastAsia="方正仿宋_GBK" w:hAnsi="Times New Roman" w:cs="Times New Roman" w:hint="eastAsia"/>
          <w:sz w:val="32"/>
          <w:szCs w:val="32"/>
        </w:rPr>
        <w:t>。</w:t>
      </w:r>
    </w:p>
    <w:p w14:paraId="49F0D503" w14:textId="77777777" w:rsidR="007C78E9" w:rsidRDefault="00C42C3F">
      <w:pPr>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附则</w:t>
      </w:r>
    </w:p>
    <w:p w14:paraId="5510B74B" w14:textId="6882A894" w:rsidR="007C78E9" w:rsidRDefault="00C42C3F" w:rsidP="009576F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（一）享受本措施奖励的企业若同时满足成都高新区本级</w:t>
      </w:r>
      <w:r>
        <w:rPr>
          <w:rFonts w:ascii="Times New Roman" w:eastAsia="方正仿宋_GBK" w:hAnsi="Times New Roman" w:cs="Times New Roman" w:hint="eastAsia"/>
          <w:sz w:val="32"/>
          <w:szCs w:val="32"/>
        </w:rPr>
        <w:t>同类型</w:t>
      </w:r>
      <w:r>
        <w:rPr>
          <w:rFonts w:ascii="Times New Roman" w:eastAsia="方正仿宋_GBK" w:hAnsi="Times New Roman" w:cs="Times New Roman"/>
          <w:sz w:val="32"/>
          <w:szCs w:val="32"/>
        </w:rPr>
        <w:t>其他</w:t>
      </w:r>
      <w:r>
        <w:rPr>
          <w:rFonts w:ascii="Times New Roman" w:eastAsia="方正仿宋_GBK" w:hAnsi="Times New Roman" w:cs="Times New Roman" w:hint="eastAsia"/>
          <w:sz w:val="32"/>
          <w:szCs w:val="32"/>
        </w:rPr>
        <w:t>扶持</w:t>
      </w:r>
      <w:r>
        <w:rPr>
          <w:rFonts w:ascii="Times New Roman" w:eastAsia="方正仿宋_GBK" w:hAnsi="Times New Roman" w:cs="Times New Roman"/>
          <w:sz w:val="32"/>
          <w:szCs w:val="32"/>
        </w:rPr>
        <w:t>的，则按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就高不重复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原则给予奖励；企业可同时享受</w:t>
      </w:r>
      <w:r>
        <w:rPr>
          <w:rFonts w:ascii="Times New Roman" w:eastAsia="方正仿宋_GBK" w:hAnsi="Times New Roman" w:cs="Times New Roman" w:hint="eastAsia"/>
          <w:sz w:val="32"/>
          <w:szCs w:val="32"/>
        </w:rPr>
        <w:t>国家、</w:t>
      </w:r>
      <w:r>
        <w:rPr>
          <w:rFonts w:ascii="Times New Roman" w:eastAsia="方正仿宋_GBK" w:hAnsi="Times New Roman" w:cs="Times New Roman"/>
          <w:sz w:val="32"/>
          <w:szCs w:val="32"/>
        </w:rPr>
        <w:t>省、市级同类型扶持，但对上级</w:t>
      </w:r>
      <w:r>
        <w:rPr>
          <w:rFonts w:ascii="Times New Roman" w:eastAsia="方正仿宋_GBK" w:hAnsi="Times New Roman" w:cs="Times New Roman" w:hint="eastAsia"/>
          <w:sz w:val="32"/>
          <w:szCs w:val="32"/>
        </w:rPr>
        <w:t>同类扶持</w:t>
      </w:r>
      <w:r>
        <w:rPr>
          <w:rFonts w:ascii="Times New Roman" w:eastAsia="方正仿宋_GBK" w:hAnsi="Times New Roman" w:cs="Times New Roman"/>
          <w:sz w:val="32"/>
          <w:szCs w:val="32"/>
        </w:rPr>
        <w:t>明确要求本区分担部分应在企业向本区申报扶持时予以扣除</w:t>
      </w:r>
      <w:r>
        <w:rPr>
          <w:rFonts w:ascii="Times New Roman" w:eastAsia="方正仿宋_GBK" w:hAnsi="Times New Roman" w:cs="Times New Roman" w:hint="eastAsia"/>
          <w:sz w:val="32"/>
          <w:szCs w:val="32"/>
        </w:rPr>
        <w:t>。上级</w:t>
      </w:r>
      <w:r>
        <w:rPr>
          <w:rFonts w:ascii="Times New Roman" w:eastAsia="方正仿宋_GBK" w:hAnsi="Times New Roman" w:cs="Times New Roman"/>
          <w:sz w:val="32"/>
          <w:szCs w:val="32"/>
        </w:rPr>
        <w:t>及</w:t>
      </w:r>
      <w:r>
        <w:rPr>
          <w:rFonts w:ascii="Times New Roman" w:eastAsia="方正仿宋_GBK" w:hAnsi="Times New Roman" w:cs="Times New Roman" w:hint="eastAsia"/>
          <w:sz w:val="32"/>
          <w:szCs w:val="32"/>
        </w:rPr>
        <w:t>区本级其他扶持措施明确不可重复享受各级同类型扶持的，不再享受本措施支持。</w:t>
      </w:r>
      <w:r>
        <w:rPr>
          <w:rFonts w:ascii="Times New Roman" w:eastAsia="方正仿宋_GBK" w:hAnsi="Times New Roman" w:cs="Times New Roman"/>
          <w:sz w:val="32"/>
          <w:szCs w:val="32"/>
        </w:rPr>
        <w:t>获得奖补的涉税支出由申报主体承担。</w:t>
      </w:r>
    </w:p>
    <w:p w14:paraId="3AA361B3" w14:textId="778A1C6A" w:rsidR="007C78E9" w:rsidRDefault="00C42C3F">
      <w:pPr>
        <w:spacing w:line="59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）本措施提到的货币单位均以人民币计算，涉及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不超过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的数额均包含本数。</w:t>
      </w:r>
    </w:p>
    <w:p w14:paraId="5955BBBE" w14:textId="087108DF" w:rsidR="007C78E9" w:rsidRDefault="00C42C3F">
      <w:pPr>
        <w:spacing w:line="59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）本措施自印发之日起生效，有效期至</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w:t>
      </w:r>
      <w:r>
        <w:rPr>
          <w:rFonts w:ascii="Times New Roman" w:eastAsia="方正仿宋_GBK" w:hAnsi="Times New Roman" w:cs="Times New Roman" w:hint="eastAsia"/>
          <w:sz w:val="32"/>
          <w:szCs w:val="32"/>
        </w:rPr>
        <w:t>措施</w:t>
      </w:r>
      <w:r>
        <w:rPr>
          <w:rFonts w:ascii="Times New Roman" w:eastAsia="方正仿宋_GBK" w:hAnsi="Times New Roman" w:cs="Times New Roman"/>
          <w:sz w:val="32"/>
          <w:szCs w:val="32"/>
        </w:rPr>
        <w:t>有效期内如遇法律、法规或有关政策调整变化的，从其规定。</w:t>
      </w:r>
    </w:p>
    <w:sectPr w:rsidR="007C78E9">
      <w:pgSz w:w="11906" w:h="16838"/>
      <w:pgMar w:top="1928" w:right="1474" w:bottom="124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B2C1" w14:textId="77777777" w:rsidR="003A40EC" w:rsidRDefault="003A40EC" w:rsidP="009576F8">
      <w:r>
        <w:separator/>
      </w:r>
    </w:p>
  </w:endnote>
  <w:endnote w:type="continuationSeparator" w:id="0">
    <w:p w14:paraId="1386A0DD" w14:textId="77777777" w:rsidR="003A40EC" w:rsidRDefault="003A40EC" w:rsidP="0095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74CC" w14:textId="77777777" w:rsidR="003A40EC" w:rsidRDefault="003A40EC" w:rsidP="009576F8">
      <w:r>
        <w:separator/>
      </w:r>
    </w:p>
  </w:footnote>
  <w:footnote w:type="continuationSeparator" w:id="0">
    <w:p w14:paraId="5192A51F" w14:textId="77777777" w:rsidR="003A40EC" w:rsidRDefault="003A40EC" w:rsidP="00957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3NzJiM2U4ZTZhMzk5YWZkNWUxNjgzZWI3NmVmYzkifQ=="/>
  </w:docVars>
  <w:rsids>
    <w:rsidRoot w:val="00D520C3"/>
    <w:rsid w:val="000733D9"/>
    <w:rsid w:val="00086308"/>
    <w:rsid w:val="000C3B73"/>
    <w:rsid w:val="000D4A55"/>
    <w:rsid w:val="000D6DBF"/>
    <w:rsid w:val="0011701C"/>
    <w:rsid w:val="00132C15"/>
    <w:rsid w:val="00136C05"/>
    <w:rsid w:val="0016079E"/>
    <w:rsid w:val="001660F9"/>
    <w:rsid w:val="001774AC"/>
    <w:rsid w:val="00193878"/>
    <w:rsid w:val="001D5F36"/>
    <w:rsid w:val="002306EE"/>
    <w:rsid w:val="0026641A"/>
    <w:rsid w:val="0028650B"/>
    <w:rsid w:val="002D243A"/>
    <w:rsid w:val="002E6A5A"/>
    <w:rsid w:val="00343F11"/>
    <w:rsid w:val="003A40EC"/>
    <w:rsid w:val="003B510C"/>
    <w:rsid w:val="003E1BFF"/>
    <w:rsid w:val="003F1745"/>
    <w:rsid w:val="00414897"/>
    <w:rsid w:val="00424256"/>
    <w:rsid w:val="00424F99"/>
    <w:rsid w:val="00445195"/>
    <w:rsid w:val="00466619"/>
    <w:rsid w:val="0048488D"/>
    <w:rsid w:val="004B4316"/>
    <w:rsid w:val="004B646E"/>
    <w:rsid w:val="004D0C65"/>
    <w:rsid w:val="00507DFB"/>
    <w:rsid w:val="005129BD"/>
    <w:rsid w:val="00515D21"/>
    <w:rsid w:val="00593746"/>
    <w:rsid w:val="005B356B"/>
    <w:rsid w:val="005B5943"/>
    <w:rsid w:val="005F459F"/>
    <w:rsid w:val="00603A9A"/>
    <w:rsid w:val="0066194F"/>
    <w:rsid w:val="006741D6"/>
    <w:rsid w:val="00687124"/>
    <w:rsid w:val="00687FE6"/>
    <w:rsid w:val="00695D1D"/>
    <w:rsid w:val="006D7AAC"/>
    <w:rsid w:val="006E3367"/>
    <w:rsid w:val="006E5C6C"/>
    <w:rsid w:val="00704B15"/>
    <w:rsid w:val="00723A6F"/>
    <w:rsid w:val="00766ADC"/>
    <w:rsid w:val="007C78E9"/>
    <w:rsid w:val="007D08EE"/>
    <w:rsid w:val="007D1527"/>
    <w:rsid w:val="007E728D"/>
    <w:rsid w:val="0080549A"/>
    <w:rsid w:val="0082706E"/>
    <w:rsid w:val="00892919"/>
    <w:rsid w:val="008A5548"/>
    <w:rsid w:val="008B6973"/>
    <w:rsid w:val="008D63B8"/>
    <w:rsid w:val="0095160C"/>
    <w:rsid w:val="00952012"/>
    <w:rsid w:val="0095661F"/>
    <w:rsid w:val="009576F8"/>
    <w:rsid w:val="00964B44"/>
    <w:rsid w:val="009801CB"/>
    <w:rsid w:val="009F0C26"/>
    <w:rsid w:val="00A0644D"/>
    <w:rsid w:val="00A23A31"/>
    <w:rsid w:val="00A35191"/>
    <w:rsid w:val="00A71D57"/>
    <w:rsid w:val="00A94182"/>
    <w:rsid w:val="00AB3982"/>
    <w:rsid w:val="00AC7537"/>
    <w:rsid w:val="00B12900"/>
    <w:rsid w:val="00B86AE1"/>
    <w:rsid w:val="00C35D7A"/>
    <w:rsid w:val="00C42C3F"/>
    <w:rsid w:val="00C6270C"/>
    <w:rsid w:val="00C86E03"/>
    <w:rsid w:val="00C930F4"/>
    <w:rsid w:val="00CA22EA"/>
    <w:rsid w:val="00CB2E80"/>
    <w:rsid w:val="00D04D8D"/>
    <w:rsid w:val="00D068D5"/>
    <w:rsid w:val="00D11FD2"/>
    <w:rsid w:val="00D520C3"/>
    <w:rsid w:val="00D5348F"/>
    <w:rsid w:val="00D83914"/>
    <w:rsid w:val="00DA2CDB"/>
    <w:rsid w:val="00DC1CAA"/>
    <w:rsid w:val="00DE159C"/>
    <w:rsid w:val="00DF629C"/>
    <w:rsid w:val="00E56096"/>
    <w:rsid w:val="00EB28E9"/>
    <w:rsid w:val="00EC08C6"/>
    <w:rsid w:val="00EE2152"/>
    <w:rsid w:val="00F279F6"/>
    <w:rsid w:val="00F31BE5"/>
    <w:rsid w:val="00F4139B"/>
    <w:rsid w:val="00F561A2"/>
    <w:rsid w:val="00F73B23"/>
    <w:rsid w:val="00F73B7A"/>
    <w:rsid w:val="00FD1406"/>
    <w:rsid w:val="00FD3DB3"/>
    <w:rsid w:val="00FE2DF4"/>
    <w:rsid w:val="05D36454"/>
    <w:rsid w:val="329F513E"/>
    <w:rsid w:val="350C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F7F3"/>
  <w15:docId w15:val="{B004F609-5533-40F6-A2AE-E64D5A18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2</Pages>
  <Words>141</Words>
  <Characters>805</Characters>
  <Application>Microsoft Office Word</Application>
  <DocSecurity>0</DocSecurity>
  <Lines>6</Lines>
  <Paragraphs>1</Paragraphs>
  <ScaleCrop>false</ScaleCrop>
  <Company>Microsoft</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xhx</dc:creator>
  <cp:lastModifiedBy>xhx</cp:lastModifiedBy>
  <cp:revision>117</cp:revision>
  <dcterms:created xsi:type="dcterms:W3CDTF">2024-10-08T05:14:00Z</dcterms:created>
  <dcterms:modified xsi:type="dcterms:W3CDTF">2024-10-12T03:27:00Z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526B386FA83B48A9863D35D4352AD9D4_13</vt:lpwstr>
  </property>
</Properties>
</file>