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5C" w:rsidRPr="004C76EE" w:rsidRDefault="004A445C" w:rsidP="004A445C">
      <w:pPr>
        <w:spacing w:line="600" w:lineRule="exact"/>
        <w:jc w:val="center"/>
        <w:rPr>
          <w:rFonts w:ascii="方正小标宋_GBK" w:eastAsia="方正小标宋_GBK" w:hAnsi="Times New Roman" w:cs="Times New Roman"/>
          <w:sz w:val="48"/>
          <w:szCs w:val="48"/>
          <w:shd w:val="clear" w:color="auto" w:fill="FFFFFF" w:themeFill="background1"/>
        </w:rPr>
      </w:pPr>
      <w:r w:rsidRPr="004C76EE">
        <w:rPr>
          <w:rFonts w:ascii="方正小标宋_GBK" w:eastAsia="方正小标宋_GBK" w:hAnsi="Times New Roman" w:cs="Times New Roman" w:hint="eastAsia"/>
          <w:sz w:val="48"/>
          <w:szCs w:val="48"/>
          <w:shd w:val="clear" w:color="auto" w:fill="FFFFFF" w:themeFill="background1"/>
        </w:rPr>
        <w:t>“成制产融通”</w:t>
      </w:r>
      <w:proofErr w:type="gramStart"/>
      <w:r w:rsidRPr="004C76EE">
        <w:rPr>
          <w:rFonts w:ascii="方正小标宋_GBK" w:eastAsia="方正小标宋_GBK" w:hAnsi="Times New Roman" w:cs="Times New Roman" w:hint="eastAsia"/>
          <w:sz w:val="48"/>
          <w:szCs w:val="48"/>
          <w:shd w:val="clear" w:color="auto" w:fill="FFFFFF" w:themeFill="background1"/>
        </w:rPr>
        <w:t>育苗站征集</w:t>
      </w:r>
      <w:proofErr w:type="gramEnd"/>
      <w:r w:rsidRPr="004C76EE">
        <w:rPr>
          <w:rFonts w:ascii="方正小标宋_GBK" w:eastAsia="方正小标宋_GBK" w:hAnsi="Times New Roman" w:cs="Times New Roman" w:hint="eastAsia"/>
          <w:sz w:val="48"/>
          <w:szCs w:val="48"/>
          <w:shd w:val="clear" w:color="auto" w:fill="FFFFFF" w:themeFill="background1"/>
        </w:rPr>
        <w:t>方案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一、征集对象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各区（市）县工业和信息化主管部门、制造业产业园区（功能区）主管单位或运营单位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、街道办事处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，企业服务机构（事业单位或国有企业）、行业协会等。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二、申请流程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1.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有意向建立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的单位向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成制产融通平台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运营单位（指成都市工业互联网发展中心，以下简称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运营单位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）提交申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报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材料，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经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运营单位审核相关资料后形成建议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名单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，报市经信局同意后予以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服务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单位授牌。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 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授牌的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育苗站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建设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单位应按要求使用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成制产融通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相关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logo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标识、品牌名称以及金融服务资源等，为覆盖范围内的企业提供优质产融对接综合服务。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3.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建设单位征集工作面向征集对象常态化开展，定期评审授牌。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三、申报要求</w:t>
      </w: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（一）建设单位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具有开展育苗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站相关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所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需的办公环境（可依托现有场地挂牌）面积不低于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100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平方米，能提供咨询服务窗口、洽谈对接区、临时办公区等功能区。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1. 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育苗站咨询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服务窗口提供业务咨询，摆放相关的纸质或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lastRenderedPageBreak/>
        <w:t>电子信息资料（运营单位提供相关资料）。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2. 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育苗站洽谈对接区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提供融资对接洽谈、项目路演、银企对接活动的场地（运营单位指导相关金融服务机构提供服务）。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3. 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临时办公区。为企业提供公益性金融咨询服务的临时办公场地。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（二）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建设单位需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配备开展育苗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站相关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工作的人员，熟悉区域内企业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情况。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（三）建设单位要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主动接受运营单位的业务指导。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制定年度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服务计划、管理制度，</w:t>
      </w:r>
      <w:r w:rsidRPr="003B46E0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线上报送企业的融资需求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、定期</w:t>
      </w:r>
      <w:r w:rsidRPr="003B46E0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报送站点整体服务情况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等。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（四）建设单位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不得以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的名义开展非法金融活动，不得从事其他违反国家金融法规的业务。</w:t>
      </w:r>
    </w:p>
    <w:p w:rsidR="004A445C" w:rsidRPr="004303E9" w:rsidRDefault="004A445C" w:rsidP="004A445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4303E9"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四、</w:t>
      </w:r>
      <w:r w:rsidRPr="004303E9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服务内容</w:t>
      </w:r>
    </w:p>
    <w:p w:rsidR="004A445C" w:rsidRPr="009B594F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在运营单位指导下，常态化收集企业融资需求，组织开展各类融资对接活动、融资能力提升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培训</w:t>
      </w:r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活动，宣传落实产融政策，为企业提供</w:t>
      </w:r>
      <w:proofErr w:type="gramStart"/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微金融</w:t>
      </w:r>
      <w:proofErr w:type="gramEnd"/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服务方案，</w:t>
      </w:r>
      <w:proofErr w:type="gramStart"/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高效促进</w:t>
      </w:r>
      <w:proofErr w:type="gramEnd"/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产融对接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等</w:t>
      </w:r>
      <w:r w:rsidRPr="009B594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1.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通过育苗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站相关服务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机制，常态化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收集企业融资诉求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。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引导企业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通过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成制产融通平台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（以下简称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平台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登记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融资需求，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做细融资对接撮合工作，及时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在平台录入对接结果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；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建立企业服务档案，实行企业信息动态管理。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2.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组织开展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系列融资对接活动，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搭建政、金、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lastRenderedPageBreak/>
        <w:t>企高效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对接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桥梁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3.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向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区域内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企业宣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介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市经信局产融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相关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政策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，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帮助企业申报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获取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专项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政策、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优惠政策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支持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，推动产融政策落实落地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4.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组织小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微企业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积极参加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融资能力提升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相关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业务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培训，提升企业融资能力。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借助金融资源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库专业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力量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，为企业定制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微金融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服务方案，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优化企业融资结构，降低企业融资成本。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五</w:t>
      </w: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、</w:t>
      </w:r>
      <w:proofErr w:type="gramStart"/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t>服务评价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楷体_GB2312" w:hAnsi="Times New Roman" w:cs="Times New Roman"/>
          <w:sz w:val="32"/>
          <w:szCs w:val="32"/>
          <w:shd w:val="clear" w:color="auto" w:fill="FFFFFF" w:themeFill="background1"/>
        </w:rPr>
        <w:t>（一）评价方式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运营单位每年组织开展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育苗站年度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服务评价，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应根据评价相关要求提交相应的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佐证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材料。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楷体_GB2312" w:hAnsi="Times New Roman" w:cs="Times New Roman"/>
          <w:sz w:val="32"/>
          <w:szCs w:val="32"/>
          <w:shd w:val="clear" w:color="auto" w:fill="FFFFFF" w:themeFill="background1"/>
        </w:rPr>
        <w:t>（二）评价内容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1. 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建设情况：办公环境、制度建设、人力投入、经费投入、辖区内企业建档情况等。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2. 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服务能力：创新服务能力、工作人员水平、金融机构合作情况、信息资源共享情况等。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 xml:space="preserve">3. 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服务成效：包括但不限于组织产融对接活动数量、组织项目路演活动数量、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收集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企业企业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融资需求数量、企业融资对接成功数量、企业融资对接成功金额。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333333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楷体_GB2312" w:hAnsi="Times New Roman" w:cs="Times New Roman"/>
          <w:sz w:val="32"/>
          <w:szCs w:val="32"/>
          <w:shd w:val="clear" w:color="auto" w:fill="FFFFFF" w:themeFill="background1"/>
        </w:rPr>
        <w:t>（三）评价结果</w:t>
      </w: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运营单位根据评价结果，</w:t>
      </w:r>
      <w:r w:rsidRPr="00657248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对有突出服务质效的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育苗站</w:t>
      </w:r>
      <w:proofErr w:type="gramEnd"/>
      <w:r w:rsidRPr="00657248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进行示</w:t>
      </w:r>
      <w:r w:rsidRPr="00657248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lastRenderedPageBreak/>
        <w:t>范站点授牌，对优秀工作人员给予奖励。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若发现以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的名义开展非法金融活动或从事其他违反国家金融法规的业务情况，一经发现，立即撤销</w:t>
      </w:r>
      <w:proofErr w:type="gramStart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资格，收回授牌。</w:t>
      </w:r>
    </w:p>
    <w:p w:rsidR="004A445C" w:rsidRPr="00981B63" w:rsidRDefault="004A445C" w:rsidP="004A445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六</w:t>
      </w:r>
      <w:r w:rsidRPr="00981B63"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、申报方式</w:t>
      </w: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有意愿的建设单位可经区（市）县工业和信息化主管部门推荐向运营单位提交申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报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材料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（附件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1-1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至附件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1-3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 w:themeFill="background1"/>
        </w:rPr>
        <w:t>）</w:t>
      </w:r>
      <w:r w:rsidRPr="00D92512"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  <w:t>，运营单位将在市经信局指导下定期组织开展评审、授牌等相关工作。</w:t>
      </w: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Default="004A445C" w:rsidP="004A445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Pr="00D92512" w:rsidRDefault="004A445C" w:rsidP="004A445C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1-1</w:t>
      </w:r>
    </w:p>
    <w:p w:rsidR="004A445C" w:rsidRPr="00D92512" w:rsidRDefault="004A445C" w:rsidP="004A445C">
      <w:pPr>
        <w:spacing w:line="600" w:lineRule="exact"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</w:pPr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“</w:t>
      </w:r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成制产融通</w:t>
      </w:r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申请表</w:t>
      </w:r>
    </w:p>
    <w:p w:rsidR="004A445C" w:rsidRPr="00D92512" w:rsidRDefault="004A445C" w:rsidP="004A445C">
      <w:pPr>
        <w:spacing w:line="600" w:lineRule="exact"/>
        <w:ind w:firstLineChars="200" w:firstLine="600"/>
        <w:rPr>
          <w:rFonts w:ascii="Times New Roman" w:eastAsia="宋体" w:hAnsi="Times New Roman" w:cs="Times New Roman"/>
          <w:sz w:val="30"/>
          <w:szCs w:val="30"/>
          <w:shd w:val="clear" w:color="auto" w:fill="FFFFFF" w:themeFill="background1"/>
        </w:rPr>
      </w:pPr>
    </w:p>
    <w:tbl>
      <w:tblPr>
        <w:tblStyle w:val="a4"/>
        <w:tblW w:w="0" w:type="auto"/>
        <w:tblLook w:val="04A0"/>
      </w:tblPr>
      <w:tblGrid>
        <w:gridCol w:w="1696"/>
        <w:gridCol w:w="1276"/>
        <w:gridCol w:w="1985"/>
        <w:gridCol w:w="1275"/>
        <w:gridCol w:w="2064"/>
      </w:tblGrid>
      <w:tr w:rsidR="004A445C" w:rsidRPr="00D92512" w:rsidTr="00C522C2">
        <w:trPr>
          <w:trHeight w:val="880"/>
        </w:trPr>
        <w:tc>
          <w:tcPr>
            <w:tcW w:w="1696" w:type="dxa"/>
            <w:vAlign w:val="center"/>
          </w:tcPr>
          <w:p w:rsidR="004A445C" w:rsidRPr="00D92512" w:rsidRDefault="004A445C" w:rsidP="00C522C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单位名称</w:t>
            </w:r>
          </w:p>
          <w:p w:rsidR="004A445C" w:rsidRPr="00D92512" w:rsidRDefault="004A445C" w:rsidP="00C522C2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（公章）</w:t>
            </w:r>
          </w:p>
        </w:tc>
        <w:tc>
          <w:tcPr>
            <w:tcW w:w="3261" w:type="dxa"/>
            <w:gridSpan w:val="2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75" w:type="dxa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  <w:shd w:val="clear" w:color="auto" w:fill="FFFFFF" w:themeFill="background1"/>
              </w:rPr>
              <w:t>申请</w:t>
            </w: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时间</w:t>
            </w:r>
          </w:p>
        </w:tc>
        <w:tc>
          <w:tcPr>
            <w:tcW w:w="2064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883"/>
        </w:trPr>
        <w:tc>
          <w:tcPr>
            <w:tcW w:w="1696" w:type="dxa"/>
            <w:vAlign w:val="center"/>
          </w:tcPr>
          <w:p w:rsidR="004A445C" w:rsidRPr="00D92512" w:rsidRDefault="004A445C" w:rsidP="00C522C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成立日期</w:t>
            </w:r>
          </w:p>
        </w:tc>
        <w:tc>
          <w:tcPr>
            <w:tcW w:w="3261" w:type="dxa"/>
            <w:gridSpan w:val="2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75" w:type="dxa"/>
            <w:vAlign w:val="center"/>
          </w:tcPr>
          <w:p w:rsidR="004A445C" w:rsidRPr="00D92512" w:rsidRDefault="004A445C" w:rsidP="00C522C2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所属区（市）县</w:t>
            </w:r>
          </w:p>
        </w:tc>
        <w:tc>
          <w:tcPr>
            <w:tcW w:w="2064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796"/>
        </w:trPr>
        <w:tc>
          <w:tcPr>
            <w:tcW w:w="1696" w:type="dxa"/>
            <w:vAlign w:val="center"/>
          </w:tcPr>
          <w:p w:rsidR="004A445C" w:rsidRPr="00D92512" w:rsidRDefault="004A445C" w:rsidP="00C522C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办公地址</w:t>
            </w:r>
          </w:p>
        </w:tc>
        <w:tc>
          <w:tcPr>
            <w:tcW w:w="6600" w:type="dxa"/>
            <w:gridSpan w:val="4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1275"/>
        </w:trPr>
        <w:tc>
          <w:tcPr>
            <w:tcW w:w="1696" w:type="dxa"/>
            <w:vAlign w:val="center"/>
          </w:tcPr>
          <w:p w:rsidR="004A445C" w:rsidRPr="00D92512" w:rsidRDefault="004A445C" w:rsidP="00C522C2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经营范围</w:t>
            </w:r>
          </w:p>
        </w:tc>
        <w:tc>
          <w:tcPr>
            <w:tcW w:w="6600" w:type="dxa"/>
            <w:gridSpan w:val="4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547"/>
        </w:trPr>
        <w:tc>
          <w:tcPr>
            <w:tcW w:w="1696" w:type="dxa"/>
            <w:vMerge w:val="restart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100" w:firstLine="24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联系人</w:t>
            </w:r>
          </w:p>
        </w:tc>
        <w:tc>
          <w:tcPr>
            <w:tcW w:w="1276" w:type="dxa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  <w:shd w:val="clear" w:color="auto" w:fill="FFFFFF" w:themeFill="background1"/>
              </w:rPr>
              <w:t>所属</w:t>
            </w: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部门</w:t>
            </w:r>
          </w:p>
        </w:tc>
        <w:tc>
          <w:tcPr>
            <w:tcW w:w="1985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75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100" w:firstLine="24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职务</w:t>
            </w:r>
          </w:p>
        </w:tc>
        <w:tc>
          <w:tcPr>
            <w:tcW w:w="2064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415"/>
        </w:trPr>
        <w:tc>
          <w:tcPr>
            <w:tcW w:w="1696" w:type="dxa"/>
            <w:vMerge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76" w:type="dxa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75" w:type="dxa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电子邮箱</w:t>
            </w:r>
          </w:p>
        </w:tc>
        <w:tc>
          <w:tcPr>
            <w:tcW w:w="2064" w:type="dxa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2399"/>
        </w:trPr>
        <w:tc>
          <w:tcPr>
            <w:tcW w:w="1696" w:type="dxa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单位情况简介</w:t>
            </w:r>
          </w:p>
        </w:tc>
        <w:tc>
          <w:tcPr>
            <w:tcW w:w="6600" w:type="dxa"/>
            <w:gridSpan w:val="4"/>
            <w:vAlign w:val="center"/>
          </w:tcPr>
          <w:p w:rsidR="004A445C" w:rsidRPr="00D92512" w:rsidRDefault="004A445C" w:rsidP="00C522C2">
            <w:pPr>
              <w:spacing w:line="600" w:lineRule="exact"/>
              <w:ind w:firstLineChars="200" w:firstLine="48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4A445C" w:rsidRPr="00D92512" w:rsidTr="00C522C2">
        <w:trPr>
          <w:trHeight w:val="1707"/>
        </w:trPr>
        <w:tc>
          <w:tcPr>
            <w:tcW w:w="1696" w:type="dxa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推荐区（市）</w:t>
            </w:r>
            <w:proofErr w:type="gramStart"/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县部门</w:t>
            </w:r>
            <w:proofErr w:type="gramEnd"/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意见</w:t>
            </w:r>
          </w:p>
        </w:tc>
        <w:tc>
          <w:tcPr>
            <w:tcW w:w="6600" w:type="dxa"/>
            <w:gridSpan w:val="4"/>
            <w:vAlign w:val="center"/>
          </w:tcPr>
          <w:p w:rsidR="004A445C" w:rsidRPr="00D92512" w:rsidRDefault="004A445C" w:rsidP="00C522C2">
            <w:pPr>
              <w:spacing w:line="600" w:lineRule="exac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92512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 w:themeFill="background1"/>
              </w:rPr>
              <w:t>（推荐区（市）县工业和信息化主管部门签署意见并加盖公章）</w:t>
            </w:r>
          </w:p>
        </w:tc>
      </w:tr>
    </w:tbl>
    <w:p w:rsidR="004A445C" w:rsidRPr="00D92512" w:rsidRDefault="004A445C" w:rsidP="004A445C">
      <w:pPr>
        <w:spacing w:line="600" w:lineRule="exact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i/>
          <w:iCs/>
          <w:sz w:val="24"/>
          <w:szCs w:val="24"/>
          <w:shd w:val="clear" w:color="auto" w:fill="FFFFFF" w:themeFill="background1"/>
        </w:rPr>
        <w:t>申请单位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为企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/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事业单位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/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行业协会的，需要后附</w:t>
      </w:r>
      <w:r w:rsidRPr="00D92512">
        <w:rPr>
          <w:rFonts w:ascii="Times New Roman" w:eastAsia="方正仿宋简体" w:hAnsi="Times New Roman" w:cs="Times New Roman"/>
          <w:i/>
          <w:iCs/>
          <w:sz w:val="24"/>
          <w:szCs w:val="24"/>
          <w:shd w:val="clear" w:color="auto" w:fill="FFFFFF" w:themeFill="background1"/>
        </w:rPr>
        <w:t>营业执照</w:t>
      </w:r>
      <w:r w:rsidRPr="00D92512">
        <w:rPr>
          <w:rFonts w:ascii="Times New Roman" w:eastAsia="方正仿宋简体" w:hAnsi="Times New Roman" w:cs="Times New Roman"/>
          <w:i/>
          <w:iCs/>
          <w:sz w:val="24"/>
          <w:szCs w:val="24"/>
          <w:shd w:val="clear" w:color="auto" w:fill="FFFFFF" w:themeFill="background1"/>
        </w:rPr>
        <w:t>/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事业单位</w:t>
      </w:r>
      <w:r w:rsidRPr="00D92512">
        <w:rPr>
          <w:rFonts w:ascii="Times New Roman" w:eastAsia="方正仿宋简体" w:hAnsi="Times New Roman" w:cs="Times New Roman"/>
          <w:i/>
          <w:iCs/>
          <w:sz w:val="24"/>
          <w:szCs w:val="24"/>
          <w:shd w:val="clear" w:color="auto" w:fill="FFFFFF" w:themeFill="background1"/>
        </w:rPr>
        <w:t>法人证书复印件（加盖单位公章）</w:t>
      </w:r>
      <w:r>
        <w:rPr>
          <w:rFonts w:ascii="Times New Roman" w:eastAsia="方正仿宋简体" w:hAnsi="Times New Roman" w:cs="Times New Roman" w:hint="eastAsia"/>
          <w:i/>
          <w:iCs/>
          <w:sz w:val="24"/>
          <w:szCs w:val="24"/>
          <w:shd w:val="clear" w:color="auto" w:fill="FFFFFF" w:themeFill="background1"/>
        </w:rPr>
        <w:t>。</w:t>
      </w:r>
    </w:p>
    <w:p w:rsidR="004A445C" w:rsidRPr="00D92512" w:rsidRDefault="004A445C" w:rsidP="004A445C">
      <w:pPr>
        <w:spacing w:line="600" w:lineRule="exact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1-2</w:t>
      </w:r>
    </w:p>
    <w:p w:rsidR="004A445C" w:rsidRPr="00D92512" w:rsidRDefault="004A445C" w:rsidP="004A445C">
      <w:pPr>
        <w:spacing w:line="600" w:lineRule="exact"/>
        <w:ind w:firstLineChars="200" w:firstLine="640"/>
        <w:jc w:val="center"/>
        <w:rPr>
          <w:rFonts w:ascii="Times New Roman" w:eastAsia="方正小标宋_GBK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小标宋_GBK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方正小标宋_GBK" w:hAnsi="Times New Roman" w:cs="Times New Roman"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方正小标宋_GBK" w:hAnsi="Times New Roman" w:cs="Times New Roman"/>
          <w:sz w:val="32"/>
          <w:szCs w:val="32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小标宋_GBK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小标宋_GBK" w:hAnsi="Times New Roman" w:cs="Times New Roman"/>
          <w:sz w:val="32"/>
          <w:szCs w:val="32"/>
          <w:shd w:val="clear" w:color="auto" w:fill="FFFFFF" w:themeFill="background1"/>
        </w:rPr>
        <w:t>服务承诺书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成都市工业互联网发展中心：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>（单位名称）</w:t>
      </w: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 xml:space="preserve">   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 xml:space="preserve"> 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经</w:t>
      </w: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>（</w:t>
      </w: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>××</w:t>
      </w: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>区（市）县工业和信息化主管部门）</w:t>
      </w:r>
      <w:r w:rsidRPr="00D92512">
        <w:rPr>
          <w:rFonts w:ascii="Times New Roman" w:eastAsia="方正仿宋简体" w:hAnsi="Times New Roman" w:cs="Times New Roman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推荐，</w:t>
      </w:r>
      <w:proofErr w:type="gramStart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若申请</w:t>
      </w:r>
      <w:proofErr w:type="gramEnd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认定为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建设单位，在承担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育苗站职责</w:t>
      </w:r>
      <w:proofErr w:type="gramEnd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期间，我单位（公司）承诺将遵守和履行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”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育苗</w:t>
      </w:r>
      <w:proofErr w:type="gramStart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站相关管理</w:t>
      </w:r>
      <w:proofErr w:type="gramEnd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规定，在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育苗站约定</w:t>
      </w:r>
      <w:proofErr w:type="gramEnd"/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的业务范围内，不收取任何费用</w:t>
      </w:r>
      <w:r>
        <w:rPr>
          <w:rFonts w:ascii="Times New Roman" w:eastAsia="方正仿宋简体" w:hAnsi="Times New Roman" w:cs="Times New Roman" w:hint="eastAsia"/>
          <w:sz w:val="32"/>
          <w:szCs w:val="32"/>
          <w:shd w:val="clear" w:color="auto" w:fill="FFFFFF" w:themeFill="background1"/>
        </w:rPr>
        <w:t>，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不开展非法金融活动或为非法金融活动提供便利。如违反以上承诺，我愿意承担由此带来的一切法律责任。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 xml:space="preserve"> 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 xml:space="preserve">                                 </w:t>
      </w:r>
    </w:p>
    <w:p w:rsidR="004A445C" w:rsidRPr="00D92512" w:rsidRDefault="004A445C" w:rsidP="004A445C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单位名称（公章）</w:t>
      </w:r>
    </w:p>
    <w:p w:rsidR="004A445C" w:rsidRPr="00D92512" w:rsidRDefault="004A445C" w:rsidP="004A445C">
      <w:pPr>
        <w:spacing w:line="60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2024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年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 xml:space="preserve">  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月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 xml:space="preserve">  </w:t>
      </w:r>
      <w:r w:rsidRPr="00D92512"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  <w:t>日</w:t>
      </w: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1-3</w:t>
      </w:r>
    </w:p>
    <w:p w:rsidR="004A445C" w:rsidRPr="00D92512" w:rsidRDefault="004A445C" w:rsidP="004A445C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</w:pPr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“</w:t>
      </w:r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成制产融通</w:t>
      </w:r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小标宋_GBK" w:hAnsi="Times New Roman" w:cs="Times New Roman"/>
          <w:sz w:val="36"/>
          <w:szCs w:val="36"/>
          <w:shd w:val="clear" w:color="auto" w:fill="FFFFFF" w:themeFill="background1"/>
        </w:rPr>
        <w:t>建设方案</w:t>
      </w: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shd w:val="clear" w:color="auto" w:fill="FFFFFF" w:themeFill="background1"/>
        </w:rPr>
      </w:pPr>
    </w:p>
    <w:p w:rsidR="004A445C" w:rsidRPr="00D92512" w:rsidRDefault="004A445C" w:rsidP="004A445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</w:pPr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“</w:t>
      </w:r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成制产融通</w:t>
      </w:r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”</w:t>
      </w:r>
      <w:proofErr w:type="gramStart"/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建设方案，包括但不限于</w:t>
      </w:r>
      <w:proofErr w:type="gramStart"/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服务范围内的产业</w:t>
      </w:r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/</w:t>
      </w:r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企业的基本情况介绍、重点支持的产业发展方向、目前所拥有的金融服务资源及相关产融服务需求、建设内容、</w:t>
      </w:r>
      <w:proofErr w:type="gramStart"/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育苗站</w:t>
      </w:r>
      <w:proofErr w:type="gramEnd"/>
      <w:r w:rsidRPr="00D92512">
        <w:rPr>
          <w:rFonts w:ascii="Times New Roman" w:eastAsia="方正仿宋简体" w:hAnsi="Times New Roman" w:cs="Times New Roman"/>
          <w:i/>
          <w:iCs/>
          <w:sz w:val="32"/>
          <w:szCs w:val="32"/>
          <w:shd w:val="clear" w:color="auto" w:fill="FFFFFF" w:themeFill="background1"/>
        </w:rPr>
        <w:t>运营服务相关工作方案以及管理制度、年度工作计划等。</w:t>
      </w:r>
    </w:p>
    <w:p w:rsidR="00A40EFB" w:rsidRPr="004A445C" w:rsidRDefault="00A40EFB"/>
    <w:sectPr w:rsidR="00A40EFB" w:rsidRPr="004A445C" w:rsidSect="00D92512">
      <w:footerReference w:type="default" r:id="rId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029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2CC1" w:rsidRPr="00402CC1" w:rsidRDefault="004A445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02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2C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2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A445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5 -</w:t>
        </w:r>
        <w:r w:rsidRPr="00402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2CC1" w:rsidRDefault="004A44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45C"/>
    <w:rsid w:val="004A445C"/>
    <w:rsid w:val="00A4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445C"/>
    <w:rPr>
      <w:sz w:val="18"/>
      <w:szCs w:val="18"/>
    </w:rPr>
  </w:style>
  <w:style w:type="table" w:styleId="a4">
    <w:name w:val="Table Grid"/>
    <w:basedOn w:val="a1"/>
    <w:uiPriority w:val="39"/>
    <w:qFormat/>
    <w:rsid w:val="004A44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1104</Characters>
  <Application>Microsoft Office Word</Application>
  <DocSecurity>0</DocSecurity>
  <Lines>58</Lines>
  <Paragraphs>37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2024-09-29T02:36:00Z</dcterms:created>
  <dcterms:modified xsi:type="dcterms:W3CDTF">2024-09-29T02:36:00Z</dcterms:modified>
</cp:coreProperties>
</file>