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1686"/>
        <w:tblOverlap w:val="never"/>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1843"/>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jc w:val="center"/>
              <w:rPr>
                <w:rFonts w:ascii="黑体" w:hAnsi="黑体" w:eastAsia="黑体" w:cs="黑体"/>
                <w:b w:val="0"/>
                <w:bCs w:val="0"/>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-141605</wp:posOffset>
                      </wp:positionH>
                      <wp:positionV relativeFrom="paragraph">
                        <wp:posOffset>-1010920</wp:posOffset>
                      </wp:positionV>
                      <wp:extent cx="8945880" cy="70866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8945880" cy="708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rPr>
                                    <w:t xml:space="preserve">附件                </w:t>
                                  </w:r>
                                  <w:r>
                                    <w:rPr>
                                      <w:rFonts w:ascii="黑体" w:hAnsi="黑体" w:eastAsia="黑体"/>
                                    </w:rPr>
                                    <w:t xml:space="preserve">   </w:t>
                                  </w:r>
                                  <w:r>
                                    <w:rPr>
                                      <w:rFonts w:hint="eastAsia" w:ascii="方正小标宋简体" w:eastAsia="方正小标宋简体"/>
                                      <w:sz w:val="44"/>
                                      <w:szCs w:val="44"/>
                                    </w:rPr>
                                    <w:t>拟推荐申报市级文产专项资金项目名单</w:t>
                                  </w:r>
                                  <w:r>
                                    <w:rPr>
                                      <w:rFonts w:ascii="方正小标宋简体" w:eastAsia="方正小标宋简体"/>
                                      <w:sz w:val="44"/>
                                      <w:szCs w:val="44"/>
                                    </w:rPr>
                                    <w:br w:type="textWrapping"/>
                                  </w:r>
                                  <w:r>
                                    <w:rPr>
                                      <w:rFonts w:hint="eastAsia" w:ascii="方正小标宋简体" w:eastAsia="方正小标宋简体"/>
                                      <w:sz w:val="44"/>
                                      <w:szCs w:val="44"/>
                                    </w:rPr>
                                    <w:t>申报项目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79.6pt;height:55.8pt;width:704.4pt;z-index:251659264;mso-width-relative:page;mso-height-relative:page;" fillcolor="#FFFFFF [3201]" filled="t" stroked="f" coordsize="21600,21600" o:gfxdata="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CBX72AAAAA0BAAAP&#10;AAAAAAAAAAEAIAAAACIAAABkcnMvZG93bnJldi54bWxQSwECFAAUAAAACACHTuJAYt03MFECAACP&#10;BAAADgAAAAAAAAABACAAAAAnAQAAZHJzL2Uyb0RvYy54bWxQSwUGAAAAAAYABgBZAQAA6gUAAAAA&#10;">
                      <v:fill on="t" focussize="0,0"/>
                      <v:stroke on="f" weight="0.5pt"/>
                      <v:imagedata o:title=""/>
                      <o:lock v:ext="edit" aspectratio="f"/>
                      <v:textbox>
                        <w:txbxContent>
                          <w:p>
                            <w:r>
                              <w:rPr>
                                <w:rFonts w:hint="eastAsia" w:ascii="黑体" w:hAnsi="黑体" w:eastAsia="黑体"/>
                              </w:rPr>
                              <w:t xml:space="preserve">附件                </w:t>
                            </w:r>
                            <w:r>
                              <w:rPr>
                                <w:rFonts w:ascii="黑体" w:hAnsi="黑体" w:eastAsia="黑体"/>
                              </w:rPr>
                              <w:t xml:space="preserve">   </w:t>
                            </w:r>
                            <w:r>
                              <w:rPr>
                                <w:rFonts w:hint="eastAsia" w:ascii="方正小标宋简体" w:eastAsia="方正小标宋简体"/>
                                <w:sz w:val="44"/>
                                <w:szCs w:val="44"/>
                              </w:rPr>
                              <w:t>拟推荐申报市级文产专项资金项目名单</w:t>
                            </w:r>
                            <w:r>
                              <w:rPr>
                                <w:rFonts w:ascii="方正小标宋简体" w:eastAsia="方正小标宋简体"/>
                                <w:sz w:val="44"/>
                                <w:szCs w:val="44"/>
                              </w:rPr>
                              <w:br w:type="textWrapping"/>
                            </w:r>
                            <w:r>
                              <w:rPr>
                                <w:rFonts w:hint="eastAsia" w:ascii="方正小标宋简体" w:eastAsia="方正小标宋简体"/>
                                <w:sz w:val="44"/>
                                <w:szCs w:val="44"/>
                              </w:rPr>
                              <w:t>申报项目</w:t>
                            </w:r>
                          </w:p>
                        </w:txbxContent>
                      </v:textbox>
                    </v:shape>
                  </w:pict>
                </mc:Fallback>
              </mc:AlternateContent>
            </w:r>
            <w:r>
              <w:rPr>
                <w:rFonts w:hint="eastAsia" w:ascii="黑体" w:hAnsi="黑体" w:eastAsia="黑体" w:cs="黑体"/>
                <w:b w:val="0"/>
                <w:bCs w:val="0"/>
              </w:rPr>
              <w:t>序号</w:t>
            </w:r>
          </w:p>
        </w:tc>
        <w:tc>
          <w:tcPr>
            <w:tcW w:w="1559" w:type="dxa"/>
            <w:vAlign w:val="center"/>
          </w:tcPr>
          <w:p>
            <w:pPr>
              <w:pStyle w:val="2"/>
              <w:jc w:val="center"/>
              <w:rPr>
                <w:rFonts w:ascii="黑体" w:hAnsi="黑体" w:eastAsia="黑体" w:cs="黑体"/>
                <w:b w:val="0"/>
                <w:bCs w:val="0"/>
              </w:rPr>
            </w:pPr>
            <w:r>
              <w:rPr>
                <w:rFonts w:hint="eastAsia" w:ascii="黑体" w:hAnsi="黑体" w:eastAsia="黑体" w:cs="黑体"/>
                <w:b w:val="0"/>
                <w:bCs w:val="0"/>
              </w:rPr>
              <w:t>申请单位</w:t>
            </w:r>
          </w:p>
        </w:tc>
        <w:tc>
          <w:tcPr>
            <w:tcW w:w="1559" w:type="dxa"/>
            <w:vAlign w:val="center"/>
          </w:tcPr>
          <w:p>
            <w:pPr>
              <w:pStyle w:val="2"/>
              <w:jc w:val="center"/>
              <w:rPr>
                <w:rFonts w:ascii="黑体" w:hAnsi="黑体" w:eastAsia="黑体" w:cs="黑体"/>
                <w:b w:val="0"/>
                <w:bCs w:val="0"/>
              </w:rPr>
            </w:pPr>
            <w:r>
              <w:rPr>
                <w:rFonts w:hint="eastAsia" w:ascii="黑体" w:hAnsi="黑体" w:eastAsia="黑体" w:cs="黑体"/>
                <w:b w:val="0"/>
                <w:bCs w:val="0"/>
              </w:rPr>
              <w:t>项目名称</w:t>
            </w:r>
          </w:p>
        </w:tc>
        <w:tc>
          <w:tcPr>
            <w:tcW w:w="1843" w:type="dxa"/>
            <w:vAlign w:val="center"/>
          </w:tcPr>
          <w:p>
            <w:pPr>
              <w:pStyle w:val="2"/>
              <w:jc w:val="center"/>
              <w:rPr>
                <w:rFonts w:ascii="黑体" w:hAnsi="黑体" w:eastAsia="黑体" w:cs="黑体"/>
                <w:b w:val="0"/>
                <w:bCs w:val="0"/>
              </w:rPr>
            </w:pPr>
            <w:r>
              <w:rPr>
                <w:rFonts w:hint="eastAsia" w:ascii="黑体" w:hAnsi="黑体" w:eastAsia="黑体" w:cs="黑体"/>
                <w:b w:val="0"/>
                <w:bCs w:val="0"/>
              </w:rPr>
              <w:t>申报类型</w:t>
            </w:r>
          </w:p>
        </w:tc>
        <w:tc>
          <w:tcPr>
            <w:tcW w:w="8080" w:type="dxa"/>
            <w:vAlign w:val="center"/>
          </w:tcPr>
          <w:p>
            <w:pPr>
              <w:pStyle w:val="2"/>
              <w:jc w:val="center"/>
              <w:rPr>
                <w:rFonts w:ascii="黑体" w:hAnsi="黑体" w:eastAsia="黑体" w:cs="黑体"/>
                <w:b w:val="0"/>
                <w:bCs w:val="0"/>
              </w:rPr>
            </w:pPr>
            <w:r>
              <w:rPr>
                <w:rFonts w:hint="eastAsia" w:ascii="黑体" w:hAnsi="黑体" w:eastAsia="黑体" w:cs="黑体"/>
                <w:b w:val="0"/>
                <w:bCs w:val="0"/>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60" w:lineRule="exact"/>
              <w:jc w:val="center"/>
              <w:rPr>
                <w:rFonts w:ascii="仿宋_GB2312" w:hAnsi="仿宋_GB2312" w:cs="仿宋_GB2312"/>
                <w:sz w:val="28"/>
                <w:szCs w:val="28"/>
              </w:rPr>
            </w:pPr>
            <w:r>
              <w:rPr>
                <w:rFonts w:hint="eastAsia" w:ascii="仿宋_GB2312" w:hAnsi="仿宋_GB2312" w:cs="仿宋_GB2312"/>
                <w:sz w:val="28"/>
                <w:szCs w:val="28"/>
              </w:rPr>
              <w:t>1</w:t>
            </w:r>
          </w:p>
        </w:tc>
        <w:tc>
          <w:tcPr>
            <w:tcW w:w="1559" w:type="dxa"/>
            <w:vAlign w:val="center"/>
          </w:tcPr>
          <w:p>
            <w:pPr>
              <w:widowControl/>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成都格斗科技有限公司</w:t>
            </w:r>
          </w:p>
        </w:tc>
        <w:tc>
          <w:tcPr>
            <w:tcW w:w="1559" w:type="dxa"/>
            <w:vAlign w:val="center"/>
          </w:tcPr>
          <w:p>
            <w:pPr>
              <w:widowControl/>
              <w:spacing w:line="560" w:lineRule="exact"/>
              <w:jc w:val="center"/>
              <w:rPr>
                <w:rFonts w:ascii="仿宋_GB2312" w:hAnsi="仿宋_GB2312" w:cs="仿宋_GB2312"/>
                <w:sz w:val="28"/>
                <w:szCs w:val="28"/>
              </w:rPr>
            </w:pPr>
            <w:r>
              <w:rPr>
                <w:rFonts w:hint="eastAsia" w:ascii="仿宋_GB2312" w:hAnsi="仿宋_GB2312" w:cs="仿宋_GB2312"/>
                <w:color w:val="000000"/>
                <w:sz w:val="28"/>
                <w:szCs w:val="28"/>
              </w:rPr>
              <w:t>《苍翼：混沌效应》</w:t>
            </w:r>
          </w:p>
        </w:tc>
        <w:tc>
          <w:tcPr>
            <w:tcW w:w="1843" w:type="dxa"/>
            <w:vAlign w:val="center"/>
          </w:tcPr>
          <w:p>
            <w:pPr>
              <w:widowControl/>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重点文创产业项目C类</w:t>
            </w:r>
          </w:p>
        </w:tc>
        <w:tc>
          <w:tcPr>
            <w:tcW w:w="8080" w:type="dxa"/>
            <w:vAlign w:val="center"/>
          </w:tcPr>
          <w:p>
            <w:pPr>
              <w:widowControl/>
              <w:spacing w:line="560" w:lineRule="exact"/>
              <w:jc w:val="left"/>
              <w:rPr>
                <w:rFonts w:ascii="仿宋_GB2312" w:hAnsi="仿宋_GB2312" w:cs="仿宋_GB2312"/>
                <w:sz w:val="28"/>
                <w:szCs w:val="28"/>
              </w:rPr>
            </w:pPr>
            <w:r>
              <w:rPr>
                <w:rFonts w:hint="eastAsia" w:ascii="仿宋_GB2312" w:hAnsi="仿宋_GB2312" w:cs="仿宋_GB2312"/>
                <w:color w:val="000000"/>
                <w:sz w:val="28"/>
                <w:szCs w:val="28"/>
              </w:rPr>
              <w:t>成都格斗科技有限公司为满足市场需求、推动民族动漫文化产业进步，于 2023 年初议自选项目、独立立项并开展《苍翼：混沌效应》游戏项目的研发工作，将先进的移动端操作技术与经典高人气游戏形象相结合创作出优质的2D移动游戏软件，采用本公司独立研发的技能组合操作方案，实现世界顶级的打击感和画面效果，游戏采用完全独立原创的世界观。并借由游戏研发和科技创新辐射动漫IP、音像、传媒、视觉艺术等文创产业领域，积极助力构建成都现代文创产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成都魅力映像文化传播有限公司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《爱在成都》</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爱在成都》借助音乐戏剧的形式，结合音乐歌舞的趣味性、艺术性，同时以先进的多媒体沉浸式演绎技术，多方位的舞台呈现及演员精湛的表演技巧，将贴近生活、生动有趣的蓉城爱情故事呈现出来，通过沉浸式音乐戏剧的形式，多方位舞台的呈现方式，展现剧情、塑造人物和表达主题，向观众直接展现社会生活情景，具有一定的直观性和综合性，可以很好的引起当代年轻受众的感触与共情。 项目作品想要传达的成都城市精神传递给社会大众，以剧中角色传递温暖的正能量，鼓励着在成都默默拼搏的年轻人们，让更多人真切了解成都、爱上成都，激励更多人来成都追求梦想，推动成都多产业的发展。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成都中科大旗软件股份有限公司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国家文化数字化战略下省级文化大数据服务平台研发及应用</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项目在国家文化数字化战略引领下，通过自主技术创新，突破多项全国文化大数据体系建设共性技术难题，研发及应用面向省级中心的文化大数据服务平台软件。项目建成后，将为省级文化大数据服务体系提供资源库、深度治理、生产工具、资源赋码、数据安全、动态表单、单位管理、主体管理、系统管理、接口支持、异常管理等功能。项目执行期申请专利1项，获得软件著作权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成都潜在人工智能科技有限公司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AIGC交互式数字文旅平台</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AIGC交互式数字文旅平台，利用人工智能、大数据、信息安全等现代信息技术，持续完善文旅产业生态链。1、将全面提升数字文旅产业多模态内容的平均品质，提高各行业合伙伙伴的设计水平，降低艺术创作门槛； 2、打破传统低效率内容生产模式，以自动化、智能化方式生成高质量艺术作品，为企业降本增效，提升创作效率； 3、可直接赋能智慧文旅、智慧教培、智慧城市等场景，从而覆盖更多差异化群体。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四川造梦时空影视有限公司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动画电影《犬王麦穗》</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动画电影《犬王麦穗》，改编自“中国动物小说大王”著名作家沈石溪的同名短篇小说；由中国第十四届华表奖和第七届中国国际动漫节美猴奖获得者陈德明导演执导，主创团队人员包括金鸡奖获得者侯咏、任书檀、赵彬、曲强、林印吉、王德龙、爱德华（音乐指导，美国茱莉亚音乐学院教授/创新艺术中心主任，配乐作品Scottsboro获奥斯卡金像奖提名）等国际阵容强大；已经国家电影局备案公示（影动备字[2021]第044号），取得了影片摄制许可。 影片市场观影主体为全年龄段“合家欢”，时长100分钟±，制作投资预算¥8000万元，用时68个月（2019.9-2025.4），由四川造梦时空影视有限公司作为第一出品人制作并协助发行，计划2025年4月后报审并获得公映许可证，争取在2025年春节档或2026年7月暑期档实现公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6</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成都音悦创想科技有限公司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音创泛娱乐数字化平台AI产业搭建项目</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项目基于人工智能与AI芯片的智能娱乐终端设备及SAAS综合服务平台，在推动文旅+文娱管控一张图，贯穿数据收集与整合、数据分析与智能处理、个性化服务与推荐、可视化管理平台、持续迭代与优化的全项目周期，对提高文旅+文娱产业的管理效率，促进产业的发展和创新中起到关键作用。 产品面向公园、游客中心、度假村、民宿、KTV、酒吧、酒店、沉浸桌游等商业娱乐场所提供全维度的数字化解决方案。（2）项目内容 ①提供多个商用场景方案， ②打造泛娱乐+智慧经营模式，保障场所稳定经营 ③全面赋能泛娱乐+社交场景应用，一次集成实现多个功能，助推传统文娱场所进行形式创新、内容创新、模式创新、呈现方式创新。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成都高新中演大剧院管理有限公司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英文原版音乐剧《剧院魅影》</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成都高新中演大剧院管理有限公司通过北京四海一家文化传播有限责任公司引入英文原版音乐剧《剧院魅影》在成都城市音乐厅连续上演16场。《The Phantom Of the Opera》（剧院魅影）是音乐剧大师安德鲁·劳埃德·韦伯的代表作之一，以精彩的音乐、浪漫的剧情、的舞蹈，成为音乐剧中永恒的佳作。它改编自法国作家加斯东·路易·阿尔弗雷德·勒鲁的同名哥特式爱情小说。自 1986 年于伦敦首演以来，已到访过190 多座城市，吸引超过 1.6 亿观众，斩获70 多个戏剧奖项。此次英文原版音乐剧《剧院魅影》巡演采用哈洛德·普林斯的导演编排、吉莉安·琳恩的调度编排和编舞、玛丽亚·伯约森的服装制作及布景设计的经典版本。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8</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成都灵泽科技有限公司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《明末</w:t>
            </w:r>
            <w:r>
              <w:rPr>
                <w:rFonts w:hint="eastAsia" w:ascii="微软雅黑" w:hAnsi="微软雅黑" w:eastAsia="微软雅黑" w:cs="微软雅黑"/>
                <w:b w:val="0"/>
                <w:bCs w:val="0"/>
                <w:sz w:val="28"/>
                <w:szCs w:val="28"/>
              </w:rPr>
              <w:t>•</w:t>
            </w:r>
            <w:r>
              <w:rPr>
                <w:rFonts w:hint="eastAsia" w:ascii="仿宋_GB2312" w:hAnsi="仿宋_GB2312" w:eastAsia="仿宋_GB2312" w:cs="仿宋_GB2312"/>
                <w:b w:val="0"/>
                <w:bCs w:val="0"/>
                <w:sz w:val="28"/>
                <w:szCs w:val="28"/>
              </w:rPr>
              <w:t>渊虚之羽》游戏</w:t>
            </w:r>
          </w:p>
        </w:tc>
        <w:tc>
          <w:tcPr>
            <w:tcW w:w="1843" w:type="dxa"/>
            <w:vAlign w:val="center"/>
          </w:tcPr>
          <w:p>
            <w:pPr>
              <w:pStyle w:val="2"/>
              <w:spacing w:line="560" w:lineRule="exact"/>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重点文创产业项目C类</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明末·渊虚之羽》游戏是基于以明代川蜀为背景，结合中国古蜀文明——三星堆、金沙等真实历史遗址、蜀内传说神话等制作的一款的大投入大制作3A魂类，次时代3D第三人称角色扮演动作游戏。该游戏将于2025年发售，首发加入微软XGP，并与 Xbox Series X|S 系列、Windows、Game Pass、PlayStation 5、EPIC Games 和 Steam 平台合作。旨在满足全球动作类，角色扮演类游戏玩家群体的需求，弥补市面上此类游戏的空缺，改善同类游戏中的不足，以极高的画面呈现和游玩体验宣传中国明代及川蜀文化。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9</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成都高投长岛置业有限公司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中国（成都）网络视听产业基地</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建圈强链引导项目“公共平台”运营机构补贴</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基地位于成都高新南区，占地约278亩，规划总建筑面积约24万平方米，其中一期建筑面积约10万平米、二期建筑面积约14万平米。基地围绕数字文创产业建圈强链，聚焦游戏电竞、影视传媒、数字音乐、超高清视频等重点赛道策划打造，已引入腾讯新文创总部、AG电竞、可可豆动画、葡萄腾动漫、完美天智游等项目，打造国家超高清视频创新中心、四川省游戏创新发展中心、咪咕科创平台、天府长岛数字文创产业服务平台、爱奇艺潮流文化坊等共性平台，聚集从业人员约6000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10</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成都市动漫游戏协会</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成都市动漫游戏协会-2023成都动漫游戏产业建圈强链系列活动</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建圈强链引导项目“中介机构”专项补助</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协会以动漫游戏和数字文创产业建圈强链为目标，围绕动漫游戏IP创新及跨界赋能，提高企业市场转化率；围绕社区开展一系列动漫家风馆、动漫中医科普活动以及武侯法制动漫小先锋宣传活动。为成都动漫IP进社区开创一个新数字场景，也增进动漫与社区的文创亲合力。同时协会以“天府国际动漫城”项目为产业中心，促进了成都动漫游戏文创设计的行业平台生态搭建和技术成果转化、交易平台。成功获得文旅部国家级第四届中国青年动漫家计划《优秀组织奖》；二、主要开展的系列活动有：2023-武侯晋吉社区-动漫家风馆系列活动、武侯检察院的《法制小先锋》活动 、《第一届中国优质ACG企业交流推荐会》活动 、2023“漫不可挡-成都相约安曼”的成都优秀作品出海 动漫IP推广活动、2023我协会组团参加杭州中国国际动漫节活动、2023成都第十届创意设计周动漫游戏数字文创活动展览策划设计及活动组织，获得成都创意设计周《最佳组织奖》等。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11</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成都索贝数码科技股份有限公司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基于AI原生的文创内容智作智管平台</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建圈强链引导项目“链主链属企业”奖补</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项目是面向国家《“十四五”文化发展规划》等“提升高质量内容生产力”的政策要求，为应对传统媒体高质量但高门槛、低效率和新媒体高效率、低门槛但低质量的特性，解决视频为载体的文化内容市场内容多而不精的痛点问题，所开展的深度适配媒体工艺高质量视频内容管理创作全链条流程研究。本研究通过AI原生技术，打造“多模态素材入库—体系化智能标签—视频智能编目—跨模态检索—智能分镜生成—多模态智能匹配—专业化镜头组接—高质量内容输出”一键式智能管创全链条解决方案，完成文创内容智作系统、文创内容智管系统两大核心系统研制，提供包括分镜脚本自动生成、高质量视频一键成片、智能非编效果叠加、多维度跨模态检索等功能，实现文本/稿件-脚本-故事版-成片全流程的一键式、低门槛、高效率、高质量视频内容创作。并基于本项目成果，可授权相关发明专利2个，授权软件著作权3个，打造应用示范案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r>
              <w:rPr>
                <w:rFonts w:ascii="仿宋_GB2312" w:hAnsi="仿宋_GB2312" w:eastAsia="仿宋_GB2312" w:cs="仿宋_GB2312"/>
                <w:b w:val="0"/>
                <w:bCs w:val="0"/>
                <w:sz w:val="28"/>
                <w:szCs w:val="28"/>
              </w:rPr>
              <w:t>2</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成都育迪科技有限公司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成都育迪科技有限公司申请“天府文创板”专项奖励</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“上榜”专项奖励</w:t>
            </w:r>
          </w:p>
        </w:tc>
        <w:tc>
          <w:tcPr>
            <w:tcW w:w="8080" w:type="dxa"/>
            <w:vAlign w:val="center"/>
          </w:tcPr>
          <w:p>
            <w:pPr>
              <w:pStyle w:val="2"/>
              <w:spacing w:before="0" w:after="0"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都育迪科技有限公司以现代信息技术为支撑、以“互联网+”为特征，主要运营“大咖英语”，面向成人提供线上商务英语教育服务，并创作“非遗系列”机关书，促进“人人皆学、处处能学、时时可学”，让大人与小孩足不出户领略中华文化之美。 公司自2022年正式运营以来，紧扣中共中央办公厅、国务院办公厅印发的《关于进一步加强非物质文化遗产保护工作的意见》。《意见》指出，非物质文化遗产是中华优秀传统文化的重要组成部分，是中华文明绵延传承的生动见证，是连结民族情感、维系国家统一的重要基础。结合成都正大力发展新经济，培育新动力，提出要“支持培育分享经济、数字经济、生物经济、绿色经济、智造经济、创意经济，为传统产业改造升级和城市转型发展注入新动能”，贯彻“保护为主、抢救第一、合理利用、传承发展”的工作方针，深入实施非物质文化遗产传承发展工程，切实提升非物质文化遗产系统性保护水平，为全面建设社会主义现代化国家提供精神力量。 非遗机关书是育迪科技历时近数年，深入全国各地实景拍摄，带领孩子探寻非物质文化遗产传承人与他们的传世技艺，并在省文旅厅和市非遗协会的指导下推出了《孩子手指上的非遗—天府之旅》，收录了成都皮影、藏羌织绣、蒙山制茶、青城武术等非遗内容。书籍已经完成4册，融合了非遗文化、风土人情、定制手工立体机关书，不仅能够帮助孩子开拓艺术视野，增强动手能力，还能让他们足不出户领略中华文化之美。同时，公司将“为扶贫和公益事业做出贡献”作为企业社会责任和追求，在省委网信办、省互联网行业协会等多家单位、机构指导下向川内偏远地区儿童提供更多语言学习和了解中国文化的机会，用技术让更多的优质创意更加普惠、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r>
              <w:rPr>
                <w:rFonts w:ascii="仿宋_GB2312" w:hAnsi="仿宋_GB2312" w:eastAsia="仿宋_GB2312" w:cs="仿宋_GB2312"/>
                <w:b w:val="0"/>
                <w:bCs w:val="0"/>
                <w:sz w:val="28"/>
                <w:szCs w:val="28"/>
              </w:rPr>
              <w:t>3</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成都俊云科技有限公司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成都俊云科技有限公司申请”天府文创板“专项奖励</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“上市”专项奖励</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项目基本情况介绍：公司开展奇游加速器软件的研发基于客户端的地理位置信息获取最优加速节点，并将客户端中待处理游戏目标的流量接入加速节点，继而通过对待处理游戏目标的流量进行分析，以加速关键流量。使得游戏用户获得更流程的体验感。项目创新点：项目通过采用反向代理服务器，其缓存功能也加快了用户的访问速度，从而加速了游戏的访问速度。项目所有的网页程序都保存在内部服务器上，对反向代理服务器的攻击并不能使真的网页信息系统受到破坏，这样就提高了内部服务器的安全性。目前本项目研究成果已成功实现转化，核心技术已申请知识产权，现已应用于公司“奇游智能加速器信息技术服务”，通过采用在内部服务器前放置两台反向代理服务器分别连接到公网和游戏网，这样公网用户就可以直接通过游戏网络访问游戏服务器，从而减少游戏内的延迟。公司先后为主机玩家研发了国内首款主机加速硬件，同时在pc端和手游端都有自己的品牌加速产品。目前各端注册用户已达近亿人次。二、效益情况：目前公司营收已于前年破亿万，近三年持续稳步增长，平均利润率达到70%，且随着业务板块的不断增加，也促进了本地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r>
              <w:rPr>
                <w:rFonts w:ascii="仿宋_GB2312" w:hAnsi="仿宋_GB2312" w:eastAsia="仿宋_GB2312" w:cs="仿宋_GB2312"/>
                <w:b w:val="0"/>
                <w:bCs w:val="0"/>
                <w:sz w:val="28"/>
                <w:szCs w:val="28"/>
              </w:rPr>
              <w:t>4</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天府（四川）联合股权交易中心股份有限公司</w:t>
            </w:r>
          </w:p>
        </w:tc>
        <w:tc>
          <w:tcPr>
            <w:tcW w:w="1559"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2024年天府文创板上板企业服务费用补助</w:t>
            </w:r>
          </w:p>
        </w:tc>
        <w:tc>
          <w:tcPr>
            <w:tcW w:w="1843" w:type="dxa"/>
            <w:vAlign w:val="center"/>
          </w:tcPr>
          <w:p>
            <w:pPr>
              <w:pStyle w:val="2"/>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“天府文创板”上板企业服务费用补助</w:t>
            </w:r>
          </w:p>
        </w:tc>
        <w:tc>
          <w:tcPr>
            <w:tcW w:w="8080" w:type="dxa"/>
            <w:vAlign w:val="center"/>
          </w:tcPr>
          <w:p>
            <w:pPr>
              <w:pStyle w:val="2"/>
              <w:spacing w:line="56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2023年3月3日，“天府文创板”正式开板，首批20家精选企业正式挂牌。2024年“天府文创板”第二批5家精中选优企业正在推动完成相关挂牌培育孵化工作。“天府文创板”由四川省地方金融管理局批准筹建，由中共成都市委宣传部牵头，成都市地方金融管理局支持，会同区域性股权市场天府（四川）联合股权交易中心共同设立。计划通过3年建设，将“天府文创板”打造成为成都文创企业对外展示窗口、政策扶持平台、上市培育主阵地。为坚定不移推动世界文化名城建设，奋力推进文创产业建圈强链工作，充分发挥区域性股权市场作为多层次资本市场的塔基作用，提前“选苗”上板“赛马”，突破成都市文创企业“多而不强、全而不优”瓶颈，真正培育一批本地龙头领军文创企业，推动成都市文化事业和文化产业发展水平进入全国第一方阵，“天府文创板”于2023年3月正式开板设立。重要性：“天府文创板”的设立，有利于引导支持符合条件的文创企业进入多层次资本市场，发挥资本市场孵化培育功能，进一步完善成都市文创企业梯度培育体系，根据文创企业成长特性分层分级精准施策，努力形成“四板—新三板挂牌—交易所上市”的文创企业挂牌上市梯次递进工作格局，不断充实成都市文创企业上市后备库，切实培育一批成都市文创上市后备企业、龙头链主企业、行业领军企业，推动成都市文创产业高质量发展。</w:t>
            </w:r>
          </w:p>
        </w:tc>
      </w:tr>
    </w:tbl>
    <w:p>
      <w:pPr>
        <w:pStyle w:val="2"/>
      </w:pPr>
    </w:p>
    <w:sectPr>
      <w:pgSz w:w="16838" w:h="11906" w:orient="landscape"/>
      <w:pgMar w:top="1797" w:right="1440" w:bottom="1797" w:left="1440"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hmYzVlN2I4ODc0YzBlOTU1ZTIwMTRmYmM1NmQifQ=="/>
  </w:docVars>
  <w:rsids>
    <w:rsidRoot w:val="00F5727E"/>
    <w:rsid w:val="00053B32"/>
    <w:rsid w:val="00090953"/>
    <w:rsid w:val="0012701B"/>
    <w:rsid w:val="001C1E21"/>
    <w:rsid w:val="001F4783"/>
    <w:rsid w:val="00294BB3"/>
    <w:rsid w:val="002A29E7"/>
    <w:rsid w:val="00332C3F"/>
    <w:rsid w:val="00354FD7"/>
    <w:rsid w:val="00356EDB"/>
    <w:rsid w:val="00362F1B"/>
    <w:rsid w:val="003A4525"/>
    <w:rsid w:val="003C020A"/>
    <w:rsid w:val="00404D26"/>
    <w:rsid w:val="00421790"/>
    <w:rsid w:val="00424BED"/>
    <w:rsid w:val="004552D0"/>
    <w:rsid w:val="005071EB"/>
    <w:rsid w:val="00507A54"/>
    <w:rsid w:val="0067002C"/>
    <w:rsid w:val="006A6C60"/>
    <w:rsid w:val="00732150"/>
    <w:rsid w:val="008465C8"/>
    <w:rsid w:val="00854EAE"/>
    <w:rsid w:val="009A7607"/>
    <w:rsid w:val="009E01DE"/>
    <w:rsid w:val="00AE4EC7"/>
    <w:rsid w:val="00B36E08"/>
    <w:rsid w:val="00BA245D"/>
    <w:rsid w:val="00BC71D0"/>
    <w:rsid w:val="00CB109C"/>
    <w:rsid w:val="00CE7DF3"/>
    <w:rsid w:val="00DC7A12"/>
    <w:rsid w:val="00DF0C3D"/>
    <w:rsid w:val="00E52098"/>
    <w:rsid w:val="00E609D4"/>
    <w:rsid w:val="00F07BED"/>
    <w:rsid w:val="00F13F60"/>
    <w:rsid w:val="00F5727E"/>
    <w:rsid w:val="00FC0059"/>
    <w:rsid w:val="00FE6BF9"/>
    <w:rsid w:val="1D9A16C5"/>
    <w:rsid w:val="245C67FB"/>
    <w:rsid w:val="47A3636C"/>
    <w:rsid w:val="780759D3"/>
    <w:rsid w:val="7FC9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字符"/>
    <w:basedOn w:val="6"/>
    <w:link w:val="2"/>
    <w:qFormat/>
    <w:uiPriority w:val="9"/>
    <w:rPr>
      <w:rFonts w:asciiTheme="majorHAnsi" w:hAnsiTheme="majorHAnsi" w:eastAsiaTheme="majorEastAsia" w:cstheme="majorBidi"/>
      <w:b/>
      <w:bCs/>
      <w:sz w:val="32"/>
      <w:szCs w:val="32"/>
    </w:rPr>
  </w:style>
  <w:style w:type="character" w:customStyle="1" w:styleId="8">
    <w:name w:val="批注框文本 字符"/>
    <w:basedOn w:val="6"/>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896</Words>
  <Characters>5108</Characters>
  <Lines>42</Lines>
  <Paragraphs>11</Paragraphs>
  <TotalTime>236</TotalTime>
  <ScaleCrop>false</ScaleCrop>
  <LinksUpToDate>false</LinksUpToDate>
  <CharactersWithSpaces>5993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2024-09-04T06:12:00Z</dcterms:created>
  <dc:creator>文国 刘</dc:creator>
  <cp:lastModifiedBy>Kevin</cp:lastModifiedBy>
  <cp:lastPrinted>2024-09-13T07:40:00Z</cp:lastPrinted>
  <dcterms:modified xsi:type="dcterms:W3CDTF">2024-09-23T02:12:44Z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8FAE60528CC74BDE9D637285819108C9_12</vt:lpwstr>
  </property>
</Properties>
</file>