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附件2</w:t>
      </w:r>
    </w:p>
    <w:p>
      <w:pPr>
        <w:rPr>
          <w:rFonts w:hint="default" w:ascii="Times New Roman" w:hAnsi="Times New Roman" w:eastAsia="黑体" w:cs="Times New Roman"/>
          <w:b w:val="0"/>
          <w:bCs w:val="0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lang w:val="en-US" w:eastAsia="zh-CN"/>
        </w:rPr>
        <w:t>2024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  <w:t>四川省技术转移机构评估结果</w:t>
      </w:r>
    </w:p>
    <w:p>
      <w:pPr>
        <w:tabs>
          <w:tab w:val="center" w:pos="4153"/>
          <w:tab w:val="left" w:pos="7472"/>
        </w:tabs>
        <w:spacing w:line="592" w:lineRule="exact"/>
        <w:jc w:val="center"/>
        <w:rPr>
          <w:rFonts w:hint="default" w:ascii="Times New Roman" w:hAnsi="Times New Roman" w:eastAsia="楷体_GB2312" w:cs="Times New Roman"/>
          <w:b w:val="0"/>
          <w:bCs w:val="0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/>
          <w:kern w:val="0"/>
          <w:sz w:val="32"/>
          <w:szCs w:val="32"/>
        </w:rPr>
        <w:t>（企业法人技术转移机构）</w:t>
      </w:r>
    </w:p>
    <w:tbl>
      <w:tblPr>
        <w:tblStyle w:val="5"/>
        <w:tblpPr w:leftFromText="180" w:rightFromText="180" w:vertAnchor="text" w:horzAnchor="page" w:tblpX="1292" w:tblpY="564"/>
        <w:tblOverlap w:val="never"/>
        <w:tblW w:w="9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4005"/>
        <w:gridCol w:w="975"/>
        <w:gridCol w:w="1440"/>
        <w:gridCol w:w="2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序号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机构名称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市州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建议等级</w:t>
            </w:r>
          </w:p>
        </w:tc>
        <w:tc>
          <w:tcPr>
            <w:tcW w:w="230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成都西南石油大学科技园发展有限公司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优秀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成都科技服务集团有限公司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优秀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成都西南交大技术转移中心有限公司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优秀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4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易创经云数字科技有限公司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优秀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攀钢集团研究院有限公司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优秀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6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四川中科融创科技有限公司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绵阳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优秀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7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海天水务集团股份公司技术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转移中心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优秀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工业云制造（四川）创新中心有限公司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优秀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9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成都西南交大科技园管理有限责任公司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良好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10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四川经科企业管理服务有限公司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良好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11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莱格科技服务有限公司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达州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良好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12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绵阳科技城工创科技有限公司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绵阳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良好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13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成都技转创新连线科技集团有限公司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良好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14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四川中科合创科技服务有限公司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15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成都医路康医学技术服务有限公司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16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遂宁国科创新科技服务有限责任公司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遂宁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17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四川中物技术股份有限公司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绵阳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18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德阳中小企业服务有限公司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德阳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19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成都天河中西医科技保育有限公司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20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西南联合产权交易所有限责任公司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21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成都九鼎天元知识产权代理有限公司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22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宜宾丝丽雅集团有限公司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宜宾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23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成都科杏投资发展有限公司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24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四川行之智汇知识产权运营有限公司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25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四川优科服科技服务有限公司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绵阳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26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遂宁市明川零贰零科技有限公司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遂宁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27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西南医科大学（泸州）科技园发展有限公司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泸州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乐山高新盛泰科技开发有限公司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乐山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29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泸州品创科技有限公司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泸州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30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四川效率源信息安全技术股份有限公司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内江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不合格</w:t>
            </w:r>
          </w:p>
        </w:tc>
        <w:tc>
          <w:tcPr>
            <w:tcW w:w="2301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9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31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成都弘毅天承知识产权代理有限公司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3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连续两年不合格，予以摘牌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9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32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成都技转创业孵化管理有限公司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3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法人注销，予以摘牌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33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成都市鼎宏恒业知识产权代理事务所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成都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3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连续两年不合格，予以摘牌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center"/>
        <w:rPr>
          <w:rFonts w:hint="default" w:ascii="Times New Roman" w:hAnsi="Times New Roman" w:eastAsia="仿宋_GB2312" w:cs="Times New Roman"/>
          <w:b w:val="0"/>
          <w:bCs w:val="0"/>
          <w:i w:val="0"/>
          <w:color w:val="000000"/>
          <w:sz w:val="28"/>
          <w:szCs w:val="28"/>
          <w:u w:val="none"/>
        </w:rPr>
      </w:pPr>
    </w:p>
    <w:p>
      <w:pPr>
        <w:rPr>
          <w:rFonts w:hint="default" w:ascii="Times New Roman" w:hAnsi="Times New Roman" w:eastAsia="黑体" w:cs="Times New Roman"/>
          <w:b w:val="0"/>
          <w:bCs w:val="0"/>
          <w:color w:val="000000"/>
          <w:szCs w:val="32"/>
        </w:rPr>
      </w:pPr>
    </w:p>
    <w:p>
      <w:pPr>
        <w:pStyle w:val="8"/>
        <w:rPr>
          <w:rFonts w:hint="default" w:ascii="Times New Roman" w:hAnsi="Times New Roman" w:eastAsia="黑体" w:cs="Times New Roman"/>
          <w:b w:val="0"/>
          <w:bCs w:val="0"/>
          <w:color w:val="000000"/>
          <w:szCs w:val="32"/>
        </w:rPr>
      </w:pPr>
    </w:p>
    <w:p>
      <w:pPr>
        <w:rPr>
          <w:rFonts w:hint="default" w:ascii="Times New Roman" w:hAnsi="Times New Roman" w:eastAsia="黑体" w:cs="Times New Roman"/>
          <w:b w:val="0"/>
          <w:bCs w:val="0"/>
          <w:color w:val="000000"/>
          <w:szCs w:val="32"/>
        </w:rPr>
      </w:pPr>
    </w:p>
    <w:p>
      <w:pPr>
        <w:pStyle w:val="8"/>
        <w:rPr>
          <w:rFonts w:hint="default" w:ascii="Times New Roman" w:hAnsi="Times New Roman" w:eastAsia="黑体" w:cs="Times New Roman"/>
          <w:b w:val="0"/>
          <w:bCs w:val="0"/>
          <w:color w:val="000000"/>
          <w:szCs w:val="32"/>
        </w:rPr>
      </w:pPr>
    </w:p>
    <w:p>
      <w:pPr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55FD086E"/>
    <w:rsid w:val="67CFE268"/>
    <w:rsid w:val="772C04EC"/>
    <w:rsid w:val="FDF9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3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eastAsia"/>
      <w:sz w:val="18"/>
      <w:szCs w:val="24"/>
    </w:rPr>
  </w:style>
  <w:style w:type="paragraph" w:styleId="4">
    <w:name w:val="toc 2"/>
    <w:basedOn w:val="1"/>
    <w:next w:val="1"/>
    <w:semiHidden/>
    <w:qFormat/>
    <w:uiPriority w:val="0"/>
    <w:pPr>
      <w:adjustRightInd w:val="0"/>
      <w:snapToGrid w:val="0"/>
      <w:spacing w:line="590" w:lineRule="exact"/>
      <w:textAlignment w:val="center"/>
    </w:pPr>
    <w:rPr>
      <w:rFonts w:ascii="仿宋_GB2312" w:eastAsia="仿宋_GB2312"/>
      <w:sz w:val="32"/>
      <w:szCs w:val="32"/>
    </w:rPr>
  </w:style>
  <w:style w:type="character" w:customStyle="1" w:styleId="7">
    <w:name w:val="font6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paragraph" w:customStyle="1" w:styleId="8">
    <w:name w:val="图表目录1"/>
    <w:basedOn w:val="1"/>
    <w:next w:val="1"/>
    <w:qFormat/>
    <w:uiPriority w:val="0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user</cp:lastModifiedBy>
  <cp:lastPrinted>2024-09-18T16:10:25Z</cp:lastPrinted>
  <dcterms:modified xsi:type="dcterms:W3CDTF">2024-09-18T16:10:27Z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