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黑体" w:cs="Times New Roman"/>
          <w:color w:val="000000"/>
          <w:kern w:val="0"/>
          <w:sz w:val="32"/>
          <w:szCs w:val="32"/>
          <w:highlight w:val="none"/>
          <w:lang w:val="en-US" w:eastAsia="zh-CN" w:bidi="ar"/>
        </w:rPr>
        <w:t>附件2</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highlight w:val="none"/>
          <w:lang w:val="en-US" w:eastAsia="zh-CN" w:bidi="ar"/>
        </w:rPr>
      </w:pPr>
      <w:r>
        <w:rPr>
          <w:rFonts w:hint="eastAsia" w:ascii="方正小标宋简体" w:hAnsi="方正小标宋简体" w:eastAsia="方正小标宋简体" w:cs="方正小标宋简体"/>
          <w:color w:val="000000"/>
          <w:kern w:val="0"/>
          <w:sz w:val="44"/>
          <w:szCs w:val="44"/>
          <w:highlight w:val="none"/>
          <w:lang w:val="en-US" w:eastAsia="zh-CN" w:bidi="ar"/>
        </w:rPr>
        <w:t>第十三届中国创新创业大赛颠覆性技术</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highlight w:val="none"/>
        </w:rPr>
      </w:pPr>
      <w:r>
        <w:rPr>
          <w:rFonts w:hint="eastAsia" w:ascii="方正小标宋简体" w:hAnsi="方正小标宋简体" w:eastAsia="方正小标宋简体" w:cs="方正小标宋简体"/>
          <w:color w:val="000000"/>
          <w:kern w:val="0"/>
          <w:sz w:val="44"/>
          <w:szCs w:val="44"/>
          <w:highlight w:val="none"/>
          <w:lang w:val="en-US" w:eastAsia="zh-CN" w:bidi="ar"/>
        </w:rPr>
        <w:t>创新大赛（未来信息领域赛）组织方案</w:t>
      </w:r>
    </w:p>
    <w:p>
      <w:pPr>
        <w:spacing w:line="560" w:lineRule="exact"/>
        <w:rPr>
          <w:rFonts w:hint="default" w:ascii="Times New Roman" w:hAnsi="Times New Roman" w:eastAsia="仿宋_GB2312" w:cs="Times New Roman"/>
          <w:sz w:val="32"/>
          <w:szCs w:val="32"/>
          <w:highlight w:val="none"/>
          <w:lang w:val="en-US" w:eastAsia="zh-CN"/>
        </w:rPr>
      </w:pPr>
    </w:p>
    <w:p>
      <w:pPr>
        <w:keepNext w:val="0"/>
        <w:keepLines w:val="0"/>
        <w:pageBreakBefore w:val="0"/>
        <w:kinsoku/>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根据工业和信息化部火炬中心《关于举办第十三届中国创新创业大赛的通知》（火炬〔2024〕8号）</w:t>
      </w:r>
      <w:r>
        <w:rPr>
          <w:rFonts w:hint="eastAsia" w:ascii="Times New Roman" w:hAnsi="Times New Roman" w:eastAsia="仿宋_GB2312" w:cs="Times New Roman"/>
          <w:sz w:val="32"/>
          <w:szCs w:val="32"/>
          <w:highlight w:val="none"/>
          <w:lang w:val="en-US" w:eastAsia="zh-CN"/>
        </w:rPr>
        <w:t>要求</w:t>
      </w:r>
      <w:r>
        <w:rPr>
          <w:rFonts w:hint="default" w:ascii="Times New Roman" w:hAnsi="Times New Roman" w:eastAsia="仿宋_GB2312" w:cs="Times New Roman"/>
          <w:sz w:val="32"/>
          <w:szCs w:val="32"/>
          <w:highlight w:val="none"/>
          <w:lang w:val="en-US" w:eastAsia="zh-CN"/>
        </w:rPr>
        <w:t>，制定第十三届中国创新创业大赛颠覆性技术创新大赛（未来</w:t>
      </w:r>
      <w:r>
        <w:rPr>
          <w:rFonts w:hint="eastAsia" w:ascii="Times New Roman" w:hAnsi="Times New Roman" w:eastAsia="仿宋_GB2312" w:cs="Times New Roman"/>
          <w:sz w:val="32"/>
          <w:szCs w:val="32"/>
          <w:highlight w:val="none"/>
          <w:lang w:val="en-US" w:eastAsia="zh-CN"/>
        </w:rPr>
        <w:t>信息</w:t>
      </w:r>
      <w:r>
        <w:rPr>
          <w:rFonts w:hint="default" w:ascii="Times New Roman" w:hAnsi="Times New Roman" w:eastAsia="仿宋_GB2312" w:cs="Times New Roman"/>
          <w:sz w:val="32"/>
          <w:szCs w:val="32"/>
          <w:highlight w:val="none"/>
          <w:lang w:val="en-US" w:eastAsia="zh-CN"/>
        </w:rPr>
        <w:t>领域赛）方案。</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left="630" w:left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一、指导思想</w:t>
      </w:r>
    </w:p>
    <w:p>
      <w:pPr>
        <w:keepNext w:val="0"/>
        <w:keepLines w:val="0"/>
        <w:pageBreakBefore w:val="0"/>
        <w:numPr>
          <w:ilvl w:val="0"/>
          <w:numId w:val="0"/>
        </w:numPr>
        <w:kinsoku/>
        <w:overflowPunct/>
        <w:topLinePunct w:val="0"/>
        <w:autoSpaceDE/>
        <w:autoSpaceDN/>
        <w:bidi w:val="0"/>
        <w:snapToGrid w:val="0"/>
        <w:spacing w:line="56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以习近平新时代中国特色社会主义思想为指导，深入实施创新驱动发展战略，把颠覆性技术创新大赛作为落实《工业和信息化部等七部门关于推动未来产业创新发展的实施意见》（工信部联科〔2024〕12号）的重要抓手，强化颠覆性技术源头供给，促进颠覆性技术成果转化，前瞻布局未来产业，加快发展</w:t>
      </w:r>
      <w:r>
        <w:rPr>
          <w:rFonts w:hint="eastAsia" w:ascii="Times New Roman" w:hAnsi="Times New Roman" w:eastAsia="仿宋_GB2312" w:cs="Times New Roman"/>
          <w:spacing w:val="-6"/>
          <w:sz w:val="32"/>
          <w:szCs w:val="32"/>
          <w:highlight w:val="none"/>
          <w:lang w:val="en-US" w:eastAsia="zh-CN"/>
        </w:rPr>
        <w:t>新质生产力。</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left="630" w:leftChars="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二、</w:t>
      </w:r>
      <w:r>
        <w:rPr>
          <w:rFonts w:hint="default" w:ascii="Times New Roman" w:hAnsi="Times New Roman" w:eastAsia="黑体" w:cs="Times New Roman"/>
          <w:sz w:val="32"/>
          <w:szCs w:val="32"/>
          <w:highlight w:val="none"/>
          <w:lang w:val="en-US" w:eastAsia="zh-CN"/>
        </w:rPr>
        <w:t>赛事安排</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未来信息领域赛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公开海选</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方式，面向社会公开征集具有颠覆性技术苗头的项目参赛，通过层层筛选和项目比拼，优胜项目择优进入决赛。符合参赛条件的单位统一登录中国创新创业大赛网站（http://www.cxcyds.com）—专业赛事—颠覆性技术创新大赛入口报名参赛。同一参赛单位（大专院校除外）仅可报名1个项目参赛；大专院校报名项目总数量不超过3个。比赛不向参赛单位收取任何费用。</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楷体" w:cs="Times New Roman"/>
          <w:b/>
          <w:color w:val="000000"/>
          <w:sz w:val="32"/>
          <w:szCs w:val="32"/>
          <w:highlight w:val="none"/>
        </w:rPr>
      </w:pPr>
      <w:r>
        <w:rPr>
          <w:rFonts w:hint="default" w:ascii="Times New Roman" w:hAnsi="Times New Roman" w:eastAsia="黑体" w:cs="Times New Roman"/>
          <w:sz w:val="32"/>
          <w:szCs w:val="32"/>
          <w:highlight w:val="none"/>
          <w:lang w:val="en-US" w:eastAsia="zh-CN"/>
        </w:rPr>
        <w:t>三、组织机构</w:t>
      </w:r>
    </w:p>
    <w:p>
      <w:pPr>
        <w:keepNext w:val="0"/>
        <w:keepLines w:val="0"/>
        <w:pageBreakBefore w:val="0"/>
        <w:kinsoku/>
        <w:overflowPunct/>
        <w:topLinePunct w:val="0"/>
        <w:autoSpaceDE/>
        <w:autoSpaceDN/>
        <w:bidi w:val="0"/>
        <w:snapToGrid w:val="0"/>
        <w:spacing w:line="560" w:lineRule="exact"/>
        <w:ind w:firstLine="63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主办单位：工业和信息化部火炬高技术产业开发中心</w:t>
      </w:r>
    </w:p>
    <w:p>
      <w:pPr>
        <w:keepNext w:val="0"/>
        <w:keepLines w:val="0"/>
        <w:pageBreakBefore w:val="0"/>
        <w:kinsoku/>
        <w:overflowPunct/>
        <w:topLinePunct w:val="0"/>
        <w:autoSpaceDE/>
        <w:autoSpaceDN/>
        <w:bidi w:val="0"/>
        <w:snapToGrid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承办单位：成都高新技术产业开发区管理委员会</w:t>
      </w:r>
    </w:p>
    <w:p>
      <w:pPr>
        <w:keepNext w:val="0"/>
        <w:keepLines w:val="0"/>
        <w:pageBreakBefore w:val="0"/>
        <w:kinsoku/>
        <w:overflowPunct/>
        <w:topLinePunct w:val="0"/>
        <w:autoSpaceDE/>
        <w:autoSpaceDN/>
        <w:bidi w:val="0"/>
        <w:snapToGrid w:val="0"/>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支持单位：</w:t>
      </w:r>
      <w:r>
        <w:rPr>
          <w:rFonts w:hint="eastAsia" w:ascii="Times New Roman" w:hAnsi="Times New Roman" w:eastAsia="仿宋_GB2312" w:cs="Times New Roman"/>
          <w:sz w:val="32"/>
          <w:szCs w:val="32"/>
          <w:highlight w:val="none"/>
          <w:lang w:val="en-US" w:eastAsia="zh-CN"/>
        </w:rPr>
        <w:t>招商银行科技创新公益基金</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新华社中国经济信息社</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国家国防科技工业局经济技术发展中心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中国科学院科技战略咨询研究院</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京津冀国家技术创新中心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先进技术成果长三角转化中心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The Innovation期刊</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四、参赛要求</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default" w:ascii="Times New Roman" w:hAnsi="Times New Roman" w:eastAsia="楷体_GB2312" w:cs="Times New Roman"/>
          <w:b w:val="0"/>
          <w:color w:val="000000"/>
          <w:kern w:val="0"/>
          <w:sz w:val="32"/>
          <w:szCs w:val="32"/>
          <w:highlight w:val="none"/>
          <w:lang w:val="en-US" w:eastAsia="zh-CN" w:bidi="ar"/>
        </w:rPr>
      </w:pPr>
      <w:r>
        <w:rPr>
          <w:rFonts w:hint="default" w:ascii="Times New Roman" w:hAnsi="Times New Roman" w:eastAsia="楷体_GB2312" w:cs="Times New Roman"/>
          <w:b w:val="0"/>
          <w:color w:val="000000"/>
          <w:kern w:val="0"/>
          <w:sz w:val="32"/>
          <w:szCs w:val="32"/>
          <w:highlight w:val="none"/>
          <w:lang w:val="en-US" w:eastAsia="zh-CN" w:bidi="ar"/>
        </w:rPr>
        <w:t>（一）参赛单位要求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outlineLvl w:val="9"/>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参赛单位应是具有独立法人资格的企事业单位等，经营规范、社会信誉良好、无知识产权纠纷，且具有较强的创新能力和一定的项目实施条件。</w:t>
      </w:r>
    </w:p>
    <w:p>
      <w:pPr>
        <w:keepNext w:val="0"/>
        <w:keepLines w:val="0"/>
        <w:pageBreakBefore w:val="0"/>
        <w:widowControl w:val="0"/>
        <w:kinsoku/>
        <w:overflowPunct/>
        <w:topLinePunct w:val="0"/>
        <w:autoSpaceDE/>
        <w:autoSpaceDN/>
        <w:bidi w:val="0"/>
        <w:snapToGrid w:val="0"/>
        <w:spacing w:line="560" w:lineRule="exact"/>
        <w:ind w:left="0" w:leftChars="0" w:firstLine="640" w:firstLineChars="200"/>
        <w:jc w:val="both"/>
        <w:outlineLvl w:val="9"/>
        <w:rPr>
          <w:rFonts w:hint="default" w:ascii="Times New Roman" w:hAnsi="Times New Roman" w:eastAsia="楷体" w:cs="Times New Roman"/>
          <w:b/>
          <w:color w:val="000000"/>
          <w:kern w:val="2"/>
          <w:sz w:val="32"/>
          <w:szCs w:val="32"/>
          <w:highlight w:val="none"/>
          <w:lang w:val="en-US" w:eastAsia="zh-CN" w:bidi="ar-SA"/>
        </w:rPr>
      </w:pPr>
      <w:r>
        <w:rPr>
          <w:rFonts w:hint="default" w:ascii="Times New Roman" w:hAnsi="Times New Roman" w:eastAsia="楷体_GB2312" w:cs="Times New Roman"/>
          <w:b w:val="0"/>
          <w:color w:val="000000"/>
          <w:kern w:val="0"/>
          <w:sz w:val="32"/>
          <w:szCs w:val="32"/>
          <w:highlight w:val="none"/>
          <w:lang w:val="en-US" w:eastAsia="zh-CN" w:bidi="ar"/>
        </w:rPr>
        <w:t>（二）参赛项目要求</w:t>
      </w:r>
    </w:p>
    <w:p>
      <w:pPr>
        <w:keepNext w:val="0"/>
        <w:keepLines w:val="0"/>
        <w:pageBreakBefore w:val="0"/>
        <w:widowControl w:val="0"/>
        <w:kinsoku/>
        <w:overflowPunct/>
        <w:topLinePunct w:val="0"/>
        <w:autoSpaceDE/>
        <w:autoSpaceDN/>
        <w:bidi w:val="0"/>
        <w:snapToGrid w:val="0"/>
        <w:spacing w:line="560" w:lineRule="exact"/>
        <w:ind w:left="0" w:leftChars="0" w:firstLine="640" w:firstLineChars="200"/>
        <w:jc w:val="both"/>
        <w:rPr>
          <w:rFonts w:hint="default" w:ascii="Times New Roman" w:hAnsi="Times New Roman" w:eastAsia="仿宋_GB2312" w:cs="Times New Roman"/>
          <w:color w:val="000000"/>
          <w:kern w:val="0"/>
          <w:sz w:val="32"/>
          <w:szCs w:val="32"/>
          <w:highlight w:val="none"/>
          <w:lang w:val="en-US" w:eastAsia="zh-CN" w:bidi="ar"/>
        </w:rPr>
        <w:sectPr>
          <w:headerReference r:id="rId5"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eastAsia="仿宋_GB2312" w:cs="Times New Roman"/>
          <w:color w:val="000000"/>
          <w:kern w:val="0"/>
          <w:sz w:val="32"/>
          <w:szCs w:val="32"/>
          <w:highlight w:val="none"/>
          <w:lang w:val="en-US" w:eastAsia="zh-CN" w:bidi="ar"/>
        </w:rPr>
        <w:t>颠覆性技术是</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可改变游戏规则</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的创新技术，以创新思维为根本，开辟新型技术发展模式，在发展到一定阶段时，将超越原有技术并产生替代，具有另辟蹊径改变技术轨道的演化曲线和颠覆现况的变革性效果。从技术角度看，是以科学技术的新原理、新组合和新应用为基础，开辟全新技术轨道，产生突破性的创新技术；从产业角度看，应与产业结合紧密，通过形成新工艺、新产品或新模式，利用技术创新带动产业升级换代，改变行业主流产品和市场格局，推动相关</w:t>
      </w:r>
    </w:p>
    <w:p>
      <w:pPr>
        <w:keepNext w:val="0"/>
        <w:keepLines w:val="0"/>
        <w:pageBreakBefore w:val="0"/>
        <w:widowControl w:val="0"/>
        <w:kinsoku/>
        <w:overflowPunct/>
        <w:topLinePunct w:val="0"/>
        <w:autoSpaceDE/>
        <w:autoSpaceDN/>
        <w:bidi w:val="0"/>
        <w:snapToGrid w:val="0"/>
        <w:spacing w:line="560" w:lineRule="exact"/>
        <w:ind w:left="0" w:leftChars="0"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kern w:val="0"/>
          <w:sz w:val="32"/>
          <w:szCs w:val="32"/>
          <w:highlight w:val="none"/>
          <w:lang w:val="en-US" w:eastAsia="zh-CN" w:bidi="ar"/>
        </w:rPr>
        <w:t>产业乃至全球经济的革命性、颠覆性进步。大赛聚焦对产业具有颠覆前景的技术项目，清晰阐明其技术突破性、产业变革性等</w:t>
      </w:r>
      <w:r>
        <w:rPr>
          <w:rFonts w:hint="default" w:ascii="Times New Roman" w:hAnsi="Times New Roman" w:eastAsia="仿宋_GB2312" w:cs="Times New Roman"/>
          <w:kern w:val="2"/>
          <w:sz w:val="32"/>
          <w:szCs w:val="32"/>
          <w:highlight w:val="none"/>
          <w:lang w:val="en-US" w:eastAsia="zh-CN" w:bidi="ar-SA"/>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五、技术方向</w:t>
      </w:r>
    </w:p>
    <w:p>
      <w:pPr>
        <w:keepNext w:val="0"/>
        <w:keepLines w:val="0"/>
        <w:pageBreakBefore w:val="0"/>
        <w:widowControl w:val="0"/>
        <w:kinsoku/>
        <w:overflowPunct/>
        <w:topLinePunct w:val="0"/>
        <w:autoSpaceDE/>
        <w:autoSpaceDN/>
        <w:bidi w:val="0"/>
        <w:snapToGrid w:val="0"/>
        <w:spacing w:line="560" w:lineRule="exact"/>
        <w:ind w:left="0" w:leftChars="0"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bidi="ar-SA"/>
        </w:rPr>
        <w:t>重点聚焦未来</w:t>
      </w:r>
      <w:r>
        <w:rPr>
          <w:rFonts w:hint="default" w:ascii="Times New Roman" w:hAnsi="Times New Roman" w:eastAsia="仿宋_GB2312" w:cs="Times New Roman"/>
          <w:kern w:val="2"/>
          <w:sz w:val="32"/>
          <w:szCs w:val="32"/>
          <w:highlight w:val="none"/>
          <w:lang w:val="en-US" w:eastAsia="zh-CN" w:bidi="ar-SA"/>
        </w:rPr>
        <w:t>信息</w:t>
      </w:r>
      <w:r>
        <w:rPr>
          <w:rFonts w:hint="default" w:ascii="Times New Roman" w:hAnsi="Times New Roman" w:eastAsia="仿宋_GB2312" w:cs="Times New Roman"/>
          <w:color w:val="000000"/>
          <w:kern w:val="2"/>
          <w:sz w:val="32"/>
          <w:szCs w:val="32"/>
          <w:highlight w:val="none"/>
          <w:lang w:val="en-US" w:eastAsia="zh-CN" w:bidi="ar-SA"/>
        </w:rPr>
        <w:t>领域</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color w:val="000000"/>
          <w:kern w:val="2"/>
          <w:sz w:val="32"/>
          <w:szCs w:val="32"/>
          <w:highlight w:val="none"/>
          <w:lang w:val="en-US" w:eastAsia="zh-CN" w:bidi="ar-SA"/>
        </w:rPr>
        <w:t>包括</w:t>
      </w:r>
      <w:r>
        <w:rPr>
          <w:rFonts w:hint="default" w:ascii="Times New Roman" w:hAnsi="Times New Roman" w:eastAsia="仿宋_GB2312" w:cs="Times New Roman"/>
          <w:kern w:val="2"/>
          <w:sz w:val="32"/>
          <w:szCs w:val="32"/>
          <w:highlight w:val="none"/>
          <w:lang w:val="en-US" w:eastAsia="zh-CN" w:bidi="ar-SA"/>
        </w:rPr>
        <w:t>下一代移动通信，卫星互联网，量子信息，量子、光子等计算技术，类脑智能，群体智能，大模型</w:t>
      </w:r>
      <w:r>
        <w:rPr>
          <w:rFonts w:hint="default" w:ascii="Times New Roman" w:hAnsi="Times New Roman" w:eastAsia="仿宋_GB2312" w:cs="Times New Roman"/>
          <w:color w:val="000000"/>
          <w:kern w:val="2"/>
          <w:sz w:val="32"/>
          <w:szCs w:val="32"/>
          <w:highlight w:val="none"/>
          <w:lang w:val="en-US" w:eastAsia="zh-CN" w:bidi="ar-SA"/>
        </w:rPr>
        <w:t>等方向。</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六、赛程安排</w:t>
      </w:r>
    </w:p>
    <w:p>
      <w:pPr>
        <w:keepNext w:val="0"/>
        <w:keepLines w:val="0"/>
        <w:pageBreakBefore w:val="0"/>
        <w:widowControl w:val="0"/>
        <w:numPr>
          <w:ilvl w:val="0"/>
          <w:numId w:val="0"/>
        </w:numPr>
        <w:kinsoku/>
        <w:overflowPunct/>
        <w:topLinePunct w:val="0"/>
        <w:autoSpaceDE/>
        <w:autoSpaceDN/>
        <w:bidi w:val="0"/>
        <w:spacing w:line="560" w:lineRule="exact"/>
        <w:ind w:left="0" w:leftChars="0"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eastAsia" w:ascii="楷体" w:hAnsi="楷体" w:eastAsia="楷体" w:cs="楷体"/>
          <w:b w:val="0"/>
          <w:color w:val="000000"/>
          <w:kern w:val="0"/>
          <w:sz w:val="32"/>
          <w:szCs w:val="32"/>
          <w:highlight w:val="none"/>
          <w:lang w:val="en-US" w:eastAsia="zh-CN" w:bidi="ar"/>
        </w:rPr>
        <w:t>（一）自主报名。</w:t>
      </w:r>
      <w:r>
        <w:rPr>
          <w:rFonts w:hint="default" w:ascii="Times New Roman" w:hAnsi="Times New Roman" w:eastAsia="仿宋_GB2312" w:cs="Times New Roman"/>
          <w:kern w:val="2"/>
          <w:sz w:val="32"/>
          <w:szCs w:val="32"/>
          <w:highlight w:val="none"/>
          <w:lang w:val="en-US" w:eastAsia="zh-CN" w:bidi="ar-SA"/>
        </w:rPr>
        <w:t>各参赛单位通过大赛官方网站进行统一注册报名，同时承诺对填报信息的准确、真实、合法、有效性负责。</w:t>
      </w:r>
    </w:p>
    <w:p>
      <w:pPr>
        <w:keepNext w:val="0"/>
        <w:keepLines w:val="0"/>
        <w:pageBreakBefore w:val="0"/>
        <w:widowControl w:val="0"/>
        <w:numPr>
          <w:ilvl w:val="0"/>
          <w:numId w:val="0"/>
        </w:numPr>
        <w:kinsoku/>
        <w:overflowPunct/>
        <w:topLinePunct w:val="0"/>
        <w:autoSpaceDE/>
        <w:autoSpaceDN/>
        <w:bidi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报名截止时间为2024年</w:t>
      </w:r>
      <w:r>
        <w:rPr>
          <w:rFonts w:hint="eastAsia" w:ascii="Times New Roman" w:hAnsi="Times New Roman" w:eastAsia="仿宋_GB2312" w:cs="Times New Roman"/>
          <w:kern w:val="2"/>
          <w:sz w:val="32"/>
          <w:szCs w:val="32"/>
          <w:highlight w:val="none"/>
          <w:lang w:val="en-US" w:eastAsia="zh-CN" w:bidi="ar-SA"/>
        </w:rPr>
        <w:t>10</w:t>
      </w:r>
      <w:r>
        <w:rPr>
          <w:rFonts w:hint="default" w:ascii="Times New Roman" w:hAnsi="Times New Roman" w:eastAsia="仿宋_GB2312" w:cs="Times New Roman"/>
          <w:kern w:val="2"/>
          <w:sz w:val="32"/>
          <w:szCs w:val="32"/>
          <w:highlight w:val="none"/>
          <w:lang w:val="en-US" w:eastAsia="zh-CN" w:bidi="ar-SA"/>
        </w:rPr>
        <w:t>月</w:t>
      </w:r>
      <w:r>
        <w:rPr>
          <w:rFonts w:hint="eastAsia" w:ascii="Times New Roman" w:hAnsi="Times New Roman" w:eastAsia="仿宋_GB2312" w:cs="Times New Roman"/>
          <w:kern w:val="2"/>
          <w:sz w:val="32"/>
          <w:szCs w:val="32"/>
          <w:highlight w:val="none"/>
          <w:lang w:val="en-US" w:eastAsia="zh-CN" w:bidi="ar-SA"/>
        </w:rPr>
        <w:t>12</w:t>
      </w:r>
      <w:r>
        <w:rPr>
          <w:rFonts w:hint="default" w:ascii="Times New Roman" w:hAnsi="Times New Roman" w:eastAsia="仿宋_GB2312" w:cs="Times New Roman"/>
          <w:kern w:val="2"/>
          <w:sz w:val="32"/>
          <w:szCs w:val="32"/>
          <w:highlight w:val="none"/>
          <w:lang w:val="en-US" w:eastAsia="zh-CN" w:bidi="ar-SA"/>
        </w:rPr>
        <w:t>日。</w:t>
      </w:r>
    </w:p>
    <w:p>
      <w:pPr>
        <w:keepNext w:val="0"/>
        <w:keepLines w:val="0"/>
        <w:pageBreakBefore w:val="0"/>
        <w:widowControl w:val="0"/>
        <w:numPr>
          <w:ilvl w:val="0"/>
          <w:numId w:val="0"/>
        </w:numPr>
        <w:kinsoku/>
        <w:overflowPunct/>
        <w:topLinePunct w:val="0"/>
        <w:autoSpaceDE/>
        <w:autoSpaceDN/>
        <w:bidi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eastAsia" w:ascii="楷体" w:hAnsi="楷体" w:eastAsia="楷体" w:cs="楷体"/>
          <w:b w:val="0"/>
          <w:color w:val="000000"/>
          <w:kern w:val="0"/>
          <w:sz w:val="32"/>
          <w:szCs w:val="32"/>
          <w:highlight w:val="none"/>
          <w:lang w:val="en-US" w:eastAsia="zh-CN" w:bidi="ar"/>
        </w:rPr>
        <w:t>（二）</w:t>
      </w:r>
      <w:r>
        <w:rPr>
          <w:rFonts w:hint="default" w:ascii="楷体" w:hAnsi="楷体" w:eastAsia="楷体" w:cs="楷体"/>
          <w:b w:val="0"/>
          <w:color w:val="000000"/>
          <w:kern w:val="0"/>
          <w:sz w:val="32"/>
          <w:szCs w:val="32"/>
          <w:highlight w:val="none"/>
          <w:lang w:val="en-US" w:eastAsia="zh-CN" w:bidi="ar"/>
        </w:rPr>
        <w:t>项目审查和初筛。</w:t>
      </w:r>
      <w:r>
        <w:rPr>
          <w:rFonts w:hint="default" w:ascii="Times New Roman" w:hAnsi="Times New Roman" w:eastAsia="仿宋_GB2312" w:cs="Times New Roman"/>
          <w:color w:val="000000"/>
          <w:kern w:val="0"/>
          <w:sz w:val="32"/>
          <w:szCs w:val="32"/>
          <w:highlight w:val="none"/>
          <w:lang w:val="en-US" w:eastAsia="zh-CN" w:bidi="ar"/>
        </w:rPr>
        <w:t>对报名参赛项目，按照项目合规性审查标准进行审查，再根据颠覆性技术评议标准进行初步筛选，确定进入领域赛项目名单</w:t>
      </w:r>
      <w:r>
        <w:rPr>
          <w:rFonts w:hint="default" w:ascii="Times New Roman" w:hAnsi="Times New Roman" w:eastAsia="仿宋_GB2312" w:cs="Times New Roman"/>
          <w:kern w:val="2"/>
          <w:sz w:val="32"/>
          <w:szCs w:val="32"/>
          <w:highlight w:val="none"/>
          <w:lang w:val="en-US" w:eastAsia="zh-CN" w:bidi="ar-SA"/>
        </w:rPr>
        <w:t>。</w:t>
      </w:r>
    </w:p>
    <w:p>
      <w:pPr>
        <w:keepNext w:val="0"/>
        <w:keepLines w:val="0"/>
        <w:pageBreakBefore w:val="0"/>
        <w:widowControl w:val="0"/>
        <w:numPr>
          <w:ilvl w:val="0"/>
          <w:numId w:val="0"/>
        </w:numPr>
        <w:kinsoku/>
        <w:overflowPunct/>
        <w:topLinePunct w:val="0"/>
        <w:autoSpaceDE/>
        <w:autoSpaceDN/>
        <w:bidi w:val="0"/>
        <w:spacing w:line="56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项目初筛时间为2024年10月中旬。</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楷体" w:hAnsi="楷体" w:eastAsia="楷体" w:cs="楷体"/>
          <w:b w:val="0"/>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（三）</w:t>
      </w:r>
      <w:r>
        <w:rPr>
          <w:rFonts w:hint="default" w:ascii="楷体" w:hAnsi="楷体" w:eastAsia="楷体" w:cs="楷体"/>
          <w:b w:val="0"/>
          <w:color w:val="000000"/>
          <w:kern w:val="0"/>
          <w:sz w:val="32"/>
          <w:szCs w:val="32"/>
          <w:highlight w:val="none"/>
          <w:lang w:val="en-US" w:eastAsia="zh-CN" w:bidi="ar"/>
        </w:rPr>
        <w:t>比赛说明。</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1.</w:t>
      </w:r>
      <w:r>
        <w:rPr>
          <w:rFonts w:hint="default" w:ascii="Times New Roman" w:hAnsi="Times New Roman" w:eastAsia="仿宋_GB2312" w:cs="Times New Roman"/>
          <w:color w:val="000000"/>
          <w:kern w:val="0"/>
          <w:sz w:val="32"/>
          <w:szCs w:val="32"/>
          <w:highlight w:val="none"/>
          <w:lang w:val="en-US" w:eastAsia="zh-CN" w:bidi="ar"/>
        </w:rPr>
        <w:t>比赛分组。</w:t>
      </w:r>
      <w:r>
        <w:rPr>
          <w:rFonts w:hint="eastAsia" w:ascii="Times New Roman" w:hAnsi="Times New Roman" w:eastAsia="仿宋_GB2312" w:cs="Times New Roman"/>
          <w:color w:val="000000"/>
          <w:kern w:val="0"/>
          <w:sz w:val="32"/>
          <w:szCs w:val="32"/>
          <w:highlight w:val="none"/>
          <w:lang w:val="en-US" w:eastAsia="zh-CN" w:bidi="ar"/>
        </w:rPr>
        <w:t>未来信息领域赛</w:t>
      </w:r>
      <w:r>
        <w:rPr>
          <w:rFonts w:hint="default" w:ascii="Times New Roman" w:hAnsi="Times New Roman" w:eastAsia="仿宋_GB2312" w:cs="Times New Roman"/>
          <w:color w:val="000000"/>
          <w:kern w:val="0"/>
          <w:sz w:val="32"/>
          <w:szCs w:val="32"/>
          <w:highlight w:val="none"/>
          <w:lang w:val="en-US" w:eastAsia="zh-CN" w:bidi="ar"/>
        </w:rPr>
        <w:t>将参赛单位分组并排序，参加评议的评委随机分组组成评议组，项目组与评议组随机匹配。</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2.</w:t>
      </w:r>
      <w:r>
        <w:rPr>
          <w:rFonts w:hint="default" w:ascii="Times New Roman" w:hAnsi="Times New Roman" w:eastAsia="仿宋_GB2312" w:cs="Times New Roman"/>
          <w:color w:val="000000"/>
          <w:kern w:val="0"/>
          <w:sz w:val="32"/>
          <w:szCs w:val="32"/>
          <w:highlight w:val="none"/>
          <w:lang w:val="en-US" w:eastAsia="zh-CN" w:bidi="ar"/>
        </w:rPr>
        <w:t>比赛模式。</w:t>
      </w:r>
      <w:r>
        <w:rPr>
          <w:rFonts w:hint="eastAsia" w:ascii="Times New Roman" w:hAnsi="Times New Roman" w:eastAsia="仿宋_GB2312" w:cs="Times New Roman"/>
          <w:color w:val="000000"/>
          <w:kern w:val="0"/>
          <w:sz w:val="32"/>
          <w:szCs w:val="32"/>
          <w:highlight w:val="none"/>
          <w:lang w:val="en-US" w:eastAsia="zh-CN" w:bidi="ar"/>
        </w:rPr>
        <w:t>未来信息领域赛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12+8</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模式封闭式陈述和答辩，参赛选手陈述时间12分钟，评议组问答时间8分钟。</w:t>
      </w:r>
    </w:p>
    <w:p>
      <w:pPr>
        <w:keepNext w:val="0"/>
        <w:keepLines w:val="0"/>
        <w:pageBreakBefore w:val="0"/>
        <w:widowControl w:val="0"/>
        <w:kinsoku/>
        <w:overflowPunct/>
        <w:topLinePunct w:val="0"/>
        <w:autoSpaceDE/>
        <w:autoSpaceDN/>
        <w:bidi w:val="0"/>
        <w:spacing w:line="560" w:lineRule="exact"/>
        <w:ind w:left="0" w:leftChars="0" w:firstLine="640" w:firstLineChars="200"/>
        <w:jc w:val="both"/>
        <w:rPr>
          <w:rFonts w:hint="default" w:ascii="Times New Roman" w:hAnsi="Times New Roman" w:eastAsia="仿宋_GB2312" w:cs="Times New Roman"/>
          <w:color w:val="000000"/>
          <w:kern w:val="0"/>
          <w:sz w:val="32"/>
          <w:szCs w:val="32"/>
          <w:highlight w:val="none"/>
          <w:lang w:val="en-US" w:eastAsia="zh-CN" w:bidi="ar"/>
        </w:rPr>
      </w:pPr>
      <w:r>
        <w:rPr>
          <w:rFonts w:hint="eastAsia" w:ascii="Times New Roman" w:hAnsi="Times New Roman" w:eastAsia="仿宋_GB2312" w:cs="Times New Roman"/>
          <w:color w:val="000000"/>
          <w:kern w:val="0"/>
          <w:sz w:val="32"/>
          <w:szCs w:val="32"/>
          <w:highlight w:val="none"/>
          <w:lang w:val="en-US" w:eastAsia="zh-CN" w:bidi="ar"/>
        </w:rPr>
        <w:t>3.</w:t>
      </w:r>
      <w:r>
        <w:rPr>
          <w:rFonts w:hint="default" w:ascii="Times New Roman" w:hAnsi="Times New Roman" w:eastAsia="仿宋_GB2312" w:cs="Times New Roman"/>
          <w:color w:val="000000"/>
          <w:kern w:val="0"/>
          <w:sz w:val="32"/>
          <w:szCs w:val="32"/>
          <w:highlight w:val="none"/>
          <w:lang w:val="en-US" w:eastAsia="zh-CN" w:bidi="ar"/>
        </w:rPr>
        <w:t>评议流程。评议流程按初次评议和交叉评议两个环节依次进行。初次评议既对项目技术情况作出颠覆性可能评价，也进行评级；交叉评议对项目技术情况的颠覆性可能作进一步识别。评议结果分为优秀项目和优胜项目，优胜项目择优进入决赛。</w:t>
      </w:r>
    </w:p>
    <w:p>
      <w:pPr>
        <w:keepNext w:val="0"/>
        <w:keepLines w:val="0"/>
        <w:pageBreakBefore w:val="0"/>
        <w:widowControl w:val="0"/>
        <w:kinsoku/>
        <w:overflowPunct/>
        <w:topLinePunct w:val="0"/>
        <w:autoSpaceDE/>
        <w:autoSpaceDN/>
        <w:bidi w:val="0"/>
        <w:spacing w:line="560" w:lineRule="exact"/>
        <w:ind w:left="0" w:leftChars="0" w:firstLine="640" w:firstLineChars="200"/>
        <w:jc w:val="both"/>
        <w:rPr>
          <w:rFonts w:hint="default" w:ascii="Times New Roman" w:hAnsi="Times New Roman" w:eastAsia="楷体" w:cs="Times New Roman"/>
          <w:b/>
          <w:color w:val="000000"/>
          <w:kern w:val="2"/>
          <w:sz w:val="32"/>
          <w:szCs w:val="32"/>
          <w:highlight w:val="none"/>
          <w:lang w:val="en-US" w:eastAsia="zh-CN" w:bidi="ar-SA"/>
        </w:rPr>
      </w:pPr>
      <w:r>
        <w:rPr>
          <w:rFonts w:hint="eastAsia" w:ascii="Times New Roman" w:hAnsi="Times New Roman" w:eastAsia="仿宋_GB2312" w:cs="Times New Roman"/>
          <w:b w:val="0"/>
          <w:color w:val="000000"/>
          <w:kern w:val="0"/>
          <w:sz w:val="32"/>
          <w:szCs w:val="32"/>
          <w:highlight w:val="none"/>
          <w:lang w:val="en-US" w:eastAsia="zh-CN" w:bidi="ar"/>
        </w:rPr>
        <w:t>4.</w:t>
      </w:r>
      <w:r>
        <w:rPr>
          <w:rFonts w:hint="default" w:ascii="Times New Roman" w:hAnsi="Times New Roman" w:eastAsia="仿宋_GB2312" w:cs="Times New Roman"/>
          <w:b w:val="0"/>
          <w:color w:val="000000"/>
          <w:kern w:val="0"/>
          <w:sz w:val="32"/>
          <w:szCs w:val="32"/>
          <w:highlight w:val="none"/>
          <w:lang w:val="en-US" w:eastAsia="zh-CN" w:bidi="ar"/>
        </w:rPr>
        <w:t>组织方案。</w:t>
      </w:r>
    </w:p>
    <w:p>
      <w:pPr>
        <w:keepNext w:val="0"/>
        <w:keepLines w:val="0"/>
        <w:pageBreakBefore w:val="0"/>
        <w:suppressAutoHyphens/>
        <w:kinsoku/>
        <w:overflowPunct/>
        <w:topLinePunct w:val="0"/>
        <w:autoSpaceDE/>
        <w:autoSpaceDN/>
        <w:bidi w:val="0"/>
        <w:spacing w:line="56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kern w:val="0"/>
          <w:sz w:val="32"/>
          <w:szCs w:val="32"/>
          <w:highlight w:val="none"/>
        </w:rPr>
        <w:t>比赛时间：</w:t>
      </w:r>
      <w:r>
        <w:rPr>
          <w:rFonts w:hint="default" w:ascii="Times New Roman" w:hAnsi="Times New Roman" w:eastAsia="仿宋_GB2312" w:cs="Times New Roman"/>
          <w:kern w:val="0"/>
          <w:sz w:val="32"/>
          <w:szCs w:val="32"/>
          <w:highlight w:val="none"/>
          <w:lang w:val="en-US" w:eastAsia="zh-CN"/>
        </w:rPr>
        <w:t>2024年10月</w:t>
      </w:r>
      <w:r>
        <w:rPr>
          <w:rFonts w:hint="eastAsia" w:ascii="Times New Roman" w:hAnsi="Times New Roman" w:eastAsia="仿宋_GB2312" w:cs="Times New Roman"/>
          <w:kern w:val="0"/>
          <w:sz w:val="32"/>
          <w:szCs w:val="32"/>
          <w:highlight w:val="none"/>
          <w:lang w:val="en-US" w:eastAsia="zh-CN"/>
        </w:rPr>
        <w:t>31</w:t>
      </w:r>
      <w:r>
        <w:rPr>
          <w:rFonts w:hint="default" w:ascii="Times New Roman" w:hAnsi="Times New Roman" w:eastAsia="仿宋_GB2312" w:cs="Times New Roman"/>
          <w:kern w:val="0"/>
          <w:sz w:val="32"/>
          <w:szCs w:val="32"/>
          <w:highlight w:val="none"/>
          <w:lang w:val="en-US" w:eastAsia="zh-CN"/>
        </w:rPr>
        <w:t>日-1</w:t>
      </w:r>
      <w:r>
        <w:rPr>
          <w:rFonts w:hint="eastAsia" w:ascii="Times New Roman" w:hAnsi="Times New Roman" w:eastAsia="仿宋_GB2312" w:cs="Times New Roman"/>
          <w:kern w:val="0"/>
          <w:sz w:val="32"/>
          <w:szCs w:val="32"/>
          <w:highlight w:val="none"/>
          <w:lang w:val="en-US" w:eastAsia="zh-CN"/>
        </w:rPr>
        <w:t>1</w:t>
      </w:r>
      <w:r>
        <w:rPr>
          <w:rFonts w:hint="default" w:ascii="Times New Roman" w:hAnsi="Times New Roman" w:eastAsia="仿宋_GB2312" w:cs="Times New Roman"/>
          <w:kern w:val="0"/>
          <w:sz w:val="32"/>
          <w:szCs w:val="32"/>
          <w:highlight w:val="none"/>
          <w:lang w:val="en-US" w:eastAsia="zh-CN"/>
        </w:rPr>
        <w:t>月</w:t>
      </w:r>
      <w:r>
        <w:rPr>
          <w:rFonts w:hint="eastAsia" w:ascii="Times New Roman" w:hAnsi="Times New Roman" w:eastAsia="仿宋_GB2312" w:cs="Times New Roman"/>
          <w:kern w:val="0"/>
          <w:sz w:val="32"/>
          <w:szCs w:val="32"/>
          <w:highlight w:val="none"/>
          <w:lang w:val="en-US" w:eastAsia="zh-CN"/>
        </w:rPr>
        <w:t>2</w:t>
      </w:r>
      <w:r>
        <w:rPr>
          <w:rFonts w:hint="default" w:ascii="Times New Roman" w:hAnsi="Times New Roman" w:eastAsia="仿宋_GB2312" w:cs="Times New Roman"/>
          <w:kern w:val="0"/>
          <w:sz w:val="32"/>
          <w:szCs w:val="32"/>
          <w:highlight w:val="none"/>
          <w:lang w:val="en-US" w:eastAsia="zh-CN"/>
        </w:rPr>
        <w:t>日</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参赛人员。每个参赛项目单位选派1-2名代表作为选手参加比赛。其中1名为参赛项目的负责人或研发团队主要人员作为陈述和答辩人，另可选派1名助手。</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比赛展示。参赛选手须提供比赛使用的PPT电子版。参赛选手可在比赛中展示产品、样品等相关实物模型。</w:t>
      </w:r>
    </w:p>
    <w:p>
      <w:pPr>
        <w:keepNext w:val="0"/>
        <w:keepLines w:val="0"/>
        <w:pageBreakBefore w:val="0"/>
        <w:suppressAutoHyphens/>
        <w:kinsoku/>
        <w:overflowPunct/>
        <w:topLinePunct w:val="0"/>
        <w:autoSpaceDE/>
        <w:autoSpaceDN/>
        <w:bidi w:val="0"/>
        <w:spacing w:line="56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（4）</w:t>
      </w:r>
      <w:r>
        <w:rPr>
          <w:rFonts w:hint="default" w:ascii="Times New Roman" w:hAnsi="Times New Roman" w:eastAsia="仿宋_GB2312" w:cs="Times New Roman"/>
          <w:b w:val="0"/>
          <w:bCs w:val="0"/>
          <w:kern w:val="2"/>
          <w:sz w:val="32"/>
          <w:szCs w:val="32"/>
          <w:highlight w:val="none"/>
          <w:lang w:val="en-US" w:eastAsia="zh-CN" w:bidi="ar-SA"/>
        </w:rPr>
        <w:t>参赛费用。</w:t>
      </w:r>
      <w:r>
        <w:rPr>
          <w:rFonts w:hint="eastAsia" w:ascii="Times New Roman" w:hAnsi="Times New Roman" w:eastAsia="仿宋_GB2312" w:cs="Times New Roman"/>
          <w:color w:val="000000"/>
          <w:kern w:val="0"/>
          <w:sz w:val="32"/>
          <w:szCs w:val="32"/>
          <w:highlight w:val="none"/>
          <w:lang w:val="en-US" w:eastAsia="zh-CN" w:bidi="ar"/>
        </w:rPr>
        <w:t>未来信息领域赛</w:t>
      </w:r>
      <w:r>
        <w:rPr>
          <w:rFonts w:hint="default" w:ascii="Times New Roman" w:hAnsi="Times New Roman" w:eastAsia="仿宋_GB2312" w:cs="Times New Roman"/>
          <w:color w:val="000000"/>
          <w:kern w:val="0"/>
          <w:sz w:val="32"/>
          <w:szCs w:val="32"/>
          <w:highlight w:val="none"/>
          <w:lang w:val="en-US" w:eastAsia="zh-CN" w:bidi="ar"/>
        </w:rPr>
        <w:t>不向参赛单位收取任何费用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不统一安排食宿，差旅费、食宿费自理</w:t>
      </w:r>
      <w:r>
        <w:rPr>
          <w:rFonts w:hint="default" w:ascii="Times New Roman" w:hAnsi="Times New Roman" w:eastAsia="仿宋_GB2312" w:cs="Times New Roman"/>
          <w:b w:val="0"/>
          <w:bCs w:val="0"/>
          <w:kern w:val="2"/>
          <w:sz w:val="32"/>
          <w:szCs w:val="32"/>
          <w:highlight w:val="none"/>
          <w:lang w:val="en-US" w:eastAsia="zh-CN" w:bidi="ar-SA"/>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七、服务政策</w:t>
      </w:r>
    </w:p>
    <w:p>
      <w:pPr>
        <w:keepNext w:val="0"/>
        <w:keepLines w:val="0"/>
        <w:pageBreakBefore w:val="0"/>
        <w:widowControl/>
        <w:numPr>
          <w:ilvl w:val="-1"/>
          <w:numId w:val="0"/>
        </w:numPr>
        <w:suppressAutoHyphens/>
        <w:kinsoku/>
        <w:overflowPunct/>
        <w:topLinePunct w:val="0"/>
        <w:autoSpaceDE/>
        <w:autoSpaceDN/>
        <w:bidi w:val="0"/>
        <w:snapToGrid/>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楷体" w:hAnsi="楷体" w:eastAsia="楷体" w:cs="楷体"/>
          <w:b w:val="0"/>
          <w:color w:val="000000"/>
          <w:kern w:val="0"/>
          <w:sz w:val="32"/>
          <w:szCs w:val="32"/>
          <w:highlight w:val="none"/>
          <w:lang w:val="en-US" w:eastAsia="zh-CN" w:bidi="ar"/>
        </w:rPr>
        <w:t>（一）政策支持。</w:t>
      </w:r>
      <w:r>
        <w:rPr>
          <w:rFonts w:hint="default" w:ascii="Times New Roman" w:hAnsi="Times New Roman" w:eastAsia="仿宋_GB2312" w:cs="Times New Roman"/>
          <w:b w:val="0"/>
          <w:bCs w:val="0"/>
          <w:kern w:val="2"/>
          <w:sz w:val="32"/>
          <w:szCs w:val="32"/>
          <w:highlight w:val="none"/>
          <w:lang w:val="en-US" w:eastAsia="zh-CN" w:bidi="ar-SA"/>
        </w:rPr>
        <w:t>按照《成都高新技术产业开发区关于加快创建世界领先科技园区的若干政策》，对决赛获得一、二、三等奖及优秀奖的项目，一年内落地成都高新区的，经认定，给予该项目最高100万元政策奖励；同时符合条件可申报认定为高层次人才企业，给予最高500平方米的创业空间支持，最高500万元融资补贴支持。</w:t>
      </w:r>
    </w:p>
    <w:p>
      <w:pPr>
        <w:keepNext w:val="0"/>
        <w:keepLines w:val="0"/>
        <w:pageBreakBefore w:val="0"/>
        <w:widowControl/>
        <w:kinsoku/>
        <w:overflowPunct/>
        <w:topLinePunct w:val="0"/>
        <w:autoSpaceDE/>
        <w:autoSpaceDN/>
        <w:bidi w:val="0"/>
        <w:spacing w:line="560" w:lineRule="exact"/>
        <w:ind w:left="0" w:leftChars="0" w:firstLine="640" w:firstLineChars="200"/>
        <w:jc w:val="left"/>
        <w:rPr>
          <w:rFonts w:hint="default" w:ascii="Times New Roman" w:hAnsi="Times New Roman" w:eastAsia="仿宋_GB2312" w:cs="Times New Roman"/>
          <w:b w:val="0"/>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（二）领军企业赋能。</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1.产业对接：大赛获奖项目将在组委会协助下与成都高新区领军企业进行产业合作对接；</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2.平台对接：大赛获奖项目将有机会参与成都高新区领军企业高层座谈，促进项目与领军企业建立合作；</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3.技术服务（培训）：大赛参赛项目将获得组委会组织的领军企业行业技术及专业服务内容的专项培训机会。</w:t>
      </w:r>
    </w:p>
    <w:p>
      <w:pPr>
        <w:keepNext w:val="0"/>
        <w:keepLines w:val="0"/>
        <w:pageBreakBefore w:val="0"/>
        <w:kinsoku/>
        <w:wordWrap/>
        <w:overflowPunct/>
        <w:topLinePunct w:val="0"/>
        <w:autoSpaceDE/>
        <w:autoSpaceDN/>
        <w:bidi w:val="0"/>
        <w:adjustRightInd/>
        <w:snapToGrid/>
        <w:spacing w:line="560" w:lineRule="exact"/>
        <w:ind w:firstLine="640" w:firstLineChars="200"/>
        <w:contextualSpacing w:val="0"/>
        <w:textAlignment w:val="auto"/>
        <w:rPr>
          <w:rFonts w:hint="eastAsia" w:ascii="仿宋_GB2312" w:hAnsi="宋体" w:eastAsia="仿宋_GB2312" w:cs="宋体"/>
          <w:color w:val="auto"/>
          <w:sz w:val="32"/>
          <w:szCs w:val="32"/>
          <w:highlight w:val="none"/>
        </w:rPr>
      </w:pPr>
      <w:r>
        <w:rPr>
          <w:rFonts w:hint="eastAsia" w:ascii="楷体" w:hAnsi="楷体" w:eastAsia="楷体" w:cs="楷体"/>
          <w:color w:val="000000"/>
          <w:kern w:val="0"/>
          <w:sz w:val="32"/>
          <w:szCs w:val="32"/>
          <w:highlight w:val="none"/>
          <w:lang w:val="en-US" w:eastAsia="zh-CN" w:bidi="ar"/>
        </w:rPr>
        <w:t>（三）金融服务。</w:t>
      </w:r>
      <w:r>
        <w:rPr>
          <w:rFonts w:hint="default" w:ascii="Times New Roman" w:hAnsi="Times New Roman" w:eastAsia="仿宋_GB2312" w:cs="Times New Roman"/>
          <w:color w:val="000000"/>
          <w:kern w:val="0"/>
          <w:sz w:val="32"/>
          <w:szCs w:val="32"/>
          <w:highlight w:val="none"/>
          <w:lang w:val="en-US" w:eastAsia="zh-CN" w:bidi="ar"/>
        </w:rPr>
        <w:t>向国家中小企业发展基金、国家制造业转型升级基金、国家集成电路产业投资基金等国家级基金及其他市场化创业投资基金推荐大赛。促进国家产融合作平台为参赛企业在优惠信贷、发行债券、上市融资等方面创造便利条件，大赛合作银行择优给予参赛企业贷款授信支持。</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（四）人才服务。</w:t>
      </w:r>
      <w:r>
        <w:rPr>
          <w:rFonts w:hint="default" w:ascii="Times New Roman" w:hAnsi="Times New Roman" w:eastAsia="仿宋_GB2312" w:cs="Times New Roman"/>
          <w:color w:val="000000"/>
          <w:kern w:val="0"/>
          <w:sz w:val="32"/>
          <w:szCs w:val="32"/>
          <w:highlight w:val="none"/>
          <w:lang w:val="en-US" w:eastAsia="zh-CN" w:bidi="ar"/>
        </w:rPr>
        <w:t>联合相关高校为参赛企业举办创新创业优秀人才招聘，推荐参赛企业参加国家高新区科研助理岗招聘活动。依托</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百园百校万企</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合作行动，为高新区、企业提供人才服务。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color w:val="000000"/>
          <w:kern w:val="0"/>
          <w:sz w:val="32"/>
          <w:szCs w:val="32"/>
          <w:highlight w:val="none"/>
          <w:lang w:val="en-US" w:eastAsia="zh-CN" w:bidi="ar"/>
        </w:rPr>
        <w:t>（五）信息服务。</w:t>
      </w:r>
      <w:r>
        <w:rPr>
          <w:rFonts w:hint="default" w:ascii="Times New Roman" w:hAnsi="Times New Roman" w:eastAsia="仿宋_GB2312" w:cs="Times New Roman"/>
          <w:color w:val="000000"/>
          <w:kern w:val="0"/>
          <w:sz w:val="32"/>
          <w:szCs w:val="32"/>
          <w:highlight w:val="none"/>
          <w:lang w:val="en-US" w:eastAsia="zh-CN" w:bidi="ar"/>
        </w:rPr>
        <w:t>定向为获奖企业推送相关领域政府投资项目规划信息、科研项目指南信息、武器装备采购需求等信息；根据获奖企业技术特点和需求方向，精准推送先进领域技术成果信息，并促进与成果转化意向单位洽谈合作；向大型工业企业、科研院所推送获奖企业的项目产品、知识产权、技术成果信息，促进协同创新和产研合作。</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（六）培训对接。</w:t>
      </w:r>
      <w:r>
        <w:rPr>
          <w:rFonts w:hint="eastAsia" w:ascii="仿宋_GB2312" w:hAnsi="仿宋_GB2312" w:eastAsia="仿宋_GB2312" w:cs="仿宋_GB2312"/>
          <w:color w:val="000000"/>
          <w:kern w:val="0"/>
          <w:sz w:val="32"/>
          <w:szCs w:val="32"/>
          <w:highlight w:val="none"/>
          <w:lang w:val="en-US" w:eastAsia="zh-CN" w:bidi="ar"/>
        </w:rPr>
        <w:t>组织“创新创业训练营”</w:t>
      </w:r>
      <w:r>
        <w:rPr>
          <w:rFonts w:hint="default" w:ascii="Times New Roman" w:hAnsi="Times New Roman" w:eastAsia="仿宋_GB2312" w:cs="Times New Roman"/>
          <w:color w:val="000000"/>
          <w:kern w:val="0"/>
          <w:sz w:val="32"/>
          <w:szCs w:val="32"/>
          <w:highlight w:val="none"/>
          <w:lang w:val="en-US" w:eastAsia="zh-CN" w:bidi="ar"/>
        </w:rPr>
        <w:t>等活动，为优秀参赛企业提供专项政策对接、与大企业合作、新技术场景应用等增值服务。联合军工行业有关部门，为优势企业搭建快速参军渠道，提供政策宣讲、资质辅导、技术评价、供需对接、军工科研项目咨询、市场开拓等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（七）专项支持。</w:t>
      </w:r>
      <w:r>
        <w:rPr>
          <w:rFonts w:hint="default" w:ascii="Times New Roman" w:hAnsi="Times New Roman" w:eastAsia="仿宋_GB2312" w:cs="Times New Roman"/>
          <w:color w:val="000000"/>
          <w:kern w:val="0"/>
          <w:sz w:val="32"/>
          <w:szCs w:val="32"/>
          <w:highlight w:val="none"/>
          <w:lang w:val="en-US" w:eastAsia="zh-CN" w:bidi="ar"/>
        </w:rPr>
        <w:t>支持符合条件的参赛企业纳入工业和信息化部优质企业梯度培育体系，争取国家颠覆性技术创新重点专项支持。</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（八）宣传展示。</w:t>
      </w:r>
      <w:r>
        <w:rPr>
          <w:rFonts w:hint="default" w:ascii="Times New Roman" w:hAnsi="Times New Roman" w:eastAsia="仿宋_GB2312" w:cs="Times New Roman"/>
          <w:color w:val="000000"/>
          <w:kern w:val="0"/>
          <w:sz w:val="32"/>
          <w:szCs w:val="32"/>
          <w:highlight w:val="none"/>
          <w:lang w:val="en-US" w:eastAsia="zh-CN" w:bidi="ar"/>
        </w:rPr>
        <w:t>通过中国创新创业大赛官网、合作媒体渠道、大赛附属论坛、展览、培训等活动，对赛事进行宣传展示。</w:t>
      </w:r>
    </w:p>
    <w:p>
      <w:pPr>
        <w:keepNext w:val="0"/>
        <w:keepLines w:val="0"/>
        <w:pageBreakBefore w:val="0"/>
        <w:widowControl/>
        <w:numPr>
          <w:ilvl w:val="0"/>
          <w:numId w:val="0"/>
        </w:numPr>
        <w:suppressAutoHyphens/>
        <w:kinsoku/>
        <w:overflowPunct/>
        <w:topLinePunct w:val="0"/>
        <w:autoSpaceDE/>
        <w:autoSpaceDN/>
        <w:bidi w:val="0"/>
        <w:snapToGrid w:val="0"/>
        <w:spacing w:before="0" w:after="0" w:line="56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黑体" w:cs="Times New Roman"/>
          <w:color w:val="000000"/>
          <w:kern w:val="0"/>
          <w:sz w:val="32"/>
          <w:szCs w:val="32"/>
          <w:highlight w:val="none"/>
          <w:lang w:val="en-US" w:eastAsia="zh-CN" w:bidi="ar"/>
        </w:rPr>
        <w:sectPr>
          <w:headerReference r:id="rId6" w:type="default"/>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_GB2312" w:cs="Times New Roman"/>
          <w:color w:val="000000"/>
          <w:kern w:val="0"/>
          <w:sz w:val="32"/>
          <w:szCs w:val="32"/>
          <w:highlight w:val="none"/>
          <w:lang w:val="en-US" w:eastAsia="zh-CN" w:bidi="ar"/>
        </w:rPr>
        <w:t>联系人：</w:t>
      </w:r>
      <w:r>
        <w:rPr>
          <w:rFonts w:hint="default" w:ascii="Times New Roman" w:hAnsi="Times New Roman" w:eastAsia="仿宋_GB2312" w:cs="Times New Roman"/>
          <w:b w:val="0"/>
          <w:bCs w:val="0"/>
          <w:kern w:val="2"/>
          <w:sz w:val="32"/>
          <w:szCs w:val="32"/>
          <w:highlight w:val="none"/>
          <w:lang w:val="en-US" w:eastAsia="zh-CN" w:bidi="ar-SA"/>
        </w:rPr>
        <w:t>易娟</w:t>
      </w:r>
      <w:r>
        <w:rPr>
          <w:rFonts w:hint="eastAsia" w:ascii="Times New Roman" w:hAnsi="Times New Roman" w:eastAsia="仿宋_GB2312" w:cs="Times New Roman"/>
          <w:color w:val="000000"/>
          <w:kern w:val="0"/>
          <w:sz w:val="32"/>
          <w:szCs w:val="32"/>
          <w:highlight w:val="none"/>
          <w:lang w:val="en-US" w:eastAsia="zh-CN" w:bidi="ar"/>
        </w:rPr>
        <w:t xml:space="preserve">   </w:t>
      </w:r>
      <w:r>
        <w:rPr>
          <w:rFonts w:hint="default" w:ascii="Times New Roman" w:hAnsi="Times New Roman" w:eastAsia="仿宋_GB2312" w:cs="Times New Roman"/>
          <w:b w:val="0"/>
          <w:bCs w:val="0"/>
          <w:kern w:val="2"/>
          <w:sz w:val="32"/>
          <w:szCs w:val="32"/>
          <w:highlight w:val="none"/>
          <w:lang w:val="en-US" w:eastAsia="zh-CN" w:bidi="ar-SA"/>
        </w:rPr>
        <w:t>028-61397021</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F5264"/>
    <w:rsid w:val="036F5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2024-09-14T10:43:00Z</dcterms:created>
  <dc:creator>Chen</dc:creator>
  <cp:lastModifiedBy>Chen</cp:lastModifiedBy>
  <dcterms:modified xsi:type="dcterms:W3CDTF">2024-09-14T10:44:01Z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