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EE15C">
      <w:pPr>
        <w:adjustRightInd w:val="0"/>
        <w:snapToGrid w:val="0"/>
        <w:rPr>
          <w:rFonts w:ascii="Times New Roman" w:hAnsi="Times New Roman" w:eastAsia="黑体" w:cs="Times New Roman"/>
          <w:sz w:val="32"/>
        </w:rPr>
      </w:pPr>
      <w:r>
        <w:rPr>
          <w:rFonts w:ascii="Times New Roman" w:hAnsi="Times New Roman" w:eastAsia="黑体" w:cs="Times New Roman"/>
          <w:sz w:val="32"/>
        </w:rPr>
        <w:t>附件</w:t>
      </w:r>
      <w:r>
        <w:rPr>
          <w:rFonts w:hint="eastAsia" w:ascii="Times New Roman" w:hAnsi="Times New Roman" w:eastAsia="黑体" w:cs="Times New Roman"/>
          <w:sz w:val="32"/>
        </w:rPr>
        <w:t>1</w:t>
      </w:r>
    </w:p>
    <w:p w14:paraId="5E8A02E0">
      <w:pPr>
        <w:pStyle w:val="6"/>
        <w:adjustRightInd w:val="0"/>
        <w:snapToGrid w:val="0"/>
        <w:spacing w:after="0" w:line="590" w:lineRule="exact"/>
        <w:contextualSpacing w:val="0"/>
        <w:outlineLvl w:val="0"/>
        <w:rPr>
          <w:rFonts w:ascii="Times New Roman" w:hAnsi="Times New Roman" w:eastAsia="方正小标宋简体" w:cs="Times New Roman"/>
          <w:bCs/>
          <w:spacing w:val="0"/>
          <w:kern w:val="2"/>
          <w:sz w:val="44"/>
          <w:szCs w:val="32"/>
        </w:rPr>
      </w:pPr>
    </w:p>
    <w:p w14:paraId="4A0A4011">
      <w:pPr>
        <w:pStyle w:val="6"/>
        <w:adjustRightInd w:val="0"/>
        <w:snapToGrid w:val="0"/>
        <w:spacing w:after="0" w:line="590" w:lineRule="exact"/>
        <w:contextualSpacing w:val="0"/>
        <w:outlineLvl w:val="0"/>
        <w:rPr>
          <w:rFonts w:ascii="Times New Roman" w:hAnsi="Times New Roman" w:eastAsia="方正小标宋简体" w:cs="Times New Roman"/>
          <w:bCs/>
          <w:spacing w:val="0"/>
          <w:kern w:val="2"/>
          <w:sz w:val="44"/>
          <w:szCs w:val="32"/>
        </w:rPr>
      </w:pPr>
      <w:r>
        <w:rPr>
          <w:rFonts w:ascii="Times New Roman" w:hAnsi="Times New Roman" w:eastAsia="方正小标宋简体" w:cs="Times New Roman"/>
          <w:bCs/>
          <w:spacing w:val="0"/>
          <w:kern w:val="2"/>
          <w:sz w:val="44"/>
          <w:szCs w:val="32"/>
        </w:rPr>
        <w:t>成都市轨道交通产业高质量发展</w:t>
      </w:r>
    </w:p>
    <w:p w14:paraId="4CAE40BD">
      <w:pPr>
        <w:pStyle w:val="6"/>
        <w:adjustRightInd w:val="0"/>
        <w:snapToGrid w:val="0"/>
        <w:spacing w:after="0" w:line="590" w:lineRule="exact"/>
        <w:contextualSpacing w:val="0"/>
        <w:outlineLvl w:val="0"/>
        <w:rPr>
          <w:rFonts w:ascii="Times New Roman" w:hAnsi="Times New Roman" w:eastAsia="方正小标宋简体" w:cs="Times New Roman"/>
          <w:bCs/>
          <w:spacing w:val="0"/>
          <w:kern w:val="2"/>
          <w:sz w:val="44"/>
          <w:szCs w:val="32"/>
        </w:rPr>
      </w:pPr>
      <w:r>
        <w:rPr>
          <w:rFonts w:ascii="Times New Roman" w:hAnsi="Times New Roman" w:eastAsia="方正小标宋简体" w:cs="Times New Roman"/>
          <w:bCs/>
          <w:spacing w:val="0"/>
          <w:kern w:val="2"/>
          <w:sz w:val="44"/>
          <w:szCs w:val="32"/>
        </w:rPr>
        <w:t>产品供给清单遴选方案</w:t>
      </w:r>
      <w:r>
        <w:rPr>
          <w:rFonts w:hint="eastAsia" w:ascii="Times New Roman" w:hAnsi="Times New Roman" w:eastAsia="方正小标宋简体" w:cs="Times New Roman"/>
          <w:bCs/>
          <w:spacing w:val="0"/>
          <w:kern w:val="2"/>
          <w:sz w:val="44"/>
          <w:szCs w:val="32"/>
        </w:rPr>
        <w:t>（试行）</w:t>
      </w:r>
    </w:p>
    <w:p w14:paraId="4319448D">
      <w:pPr>
        <w:spacing w:line="5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</w:p>
    <w:p w14:paraId="2513CED8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为深入贯彻市委市政府工业立市、制造强市在轨道交通产业走深走实，</w:t>
      </w:r>
      <w:r>
        <w:rPr>
          <w:rFonts w:ascii="Times New Roman" w:hAnsi="Times New Roman" w:eastAsia="方正仿宋简体" w:cs="Times New Roman"/>
          <w:sz w:val="32"/>
          <w:szCs w:val="32"/>
        </w:rPr>
        <w:t>围绕《成都市推动轨道交通产业高质量发展攻坚行动计划》目标任务，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拟</w:t>
      </w:r>
      <w:r>
        <w:rPr>
          <w:rFonts w:ascii="Times New Roman" w:hAnsi="Times New Roman" w:eastAsia="仿宋_GB2312" w:cs="Times New Roman"/>
          <w:sz w:val="32"/>
        </w:rPr>
        <w:t>遴选出一批具有代表性、创新性、先进性的轨道交通产业产品，</w:t>
      </w:r>
      <w:r>
        <w:rPr>
          <w:rFonts w:hint="eastAsia" w:ascii="Times New Roman" w:hAnsi="Times New Roman" w:eastAsia="仿宋_GB2312" w:cs="Times New Roman"/>
          <w:sz w:val="32"/>
        </w:rPr>
        <w:t>形成成都市轨道交通产业高质量发展产品供给清单，</w:t>
      </w:r>
      <w:r>
        <w:rPr>
          <w:rFonts w:ascii="Times New Roman" w:hAnsi="Times New Roman" w:eastAsia="仿宋_GB2312" w:cs="Times New Roman"/>
          <w:sz w:val="32"/>
        </w:rPr>
        <w:t>促进成都市轨道交通产业高质量发展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D4EDE1C">
      <w:pPr>
        <w:pStyle w:val="3"/>
        <w:keepNext w:val="0"/>
        <w:keepLines w:val="0"/>
        <w:adjustRightInd w:val="0"/>
        <w:snapToGrid w:val="0"/>
        <w:spacing w:before="0" w:after="0" w:line="59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遴选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范围及名额</w:t>
      </w:r>
    </w:p>
    <w:p w14:paraId="1E57EAC6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（一）轨道交通</w:t>
      </w:r>
      <w:r>
        <w:rPr>
          <w:rFonts w:hint="eastAsia" w:ascii="Times New Roman" w:hAnsi="Times New Roman" w:eastAsia="仿宋_GB2312" w:cs="Times New Roman"/>
          <w:sz w:val="32"/>
        </w:rPr>
        <w:t>类产品，包含轨道交通车辆系统、轨道交通机电系统、轨道交通配套等产品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60AFDDA4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（二）同一年度每个企业最多申报3项产品，属于同一集团公司（含全资、控股子公司或分公司）的产品指定一个主体企业申报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77DE7923">
      <w:pPr>
        <w:pStyle w:val="3"/>
        <w:keepNext w:val="0"/>
        <w:keepLines w:val="0"/>
        <w:adjustRightInd w:val="0"/>
        <w:snapToGrid w:val="0"/>
        <w:spacing w:before="0" w:after="0" w:line="59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二、基本条件</w:t>
      </w:r>
    </w:p>
    <w:p w14:paraId="52B0D2F7">
      <w:pPr>
        <w:widowControl/>
        <w:adjustRightInd w:val="0"/>
        <w:snapToGrid w:val="0"/>
        <w:spacing w:line="590" w:lineRule="exact"/>
        <w:ind w:firstLine="660" w:firstLineChars="200"/>
        <w:rPr>
          <w:rFonts w:hint="eastAsia" w:ascii="Times New Roman" w:hAnsi="Times New Roman" w:eastAsia="仿宋_GB2312" w:cs="Times New Roman"/>
          <w:color w:val="000000"/>
          <w:sz w:val="33"/>
          <w:szCs w:val="33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3"/>
          <w:szCs w:val="33"/>
        </w:rPr>
        <w:t>（一）申报企业拥护中国共产党的领导，遵守国家法律法规和社会公序良俗，热爱</w:t>
      </w:r>
      <w:r>
        <w:rPr>
          <w:rFonts w:hint="eastAsia" w:eastAsia="仿宋_GB2312" w:cs="Times New Roman"/>
          <w:color w:val="000000"/>
          <w:sz w:val="33"/>
          <w:szCs w:val="33"/>
        </w:rPr>
        <w:t>轨道交通</w:t>
      </w:r>
      <w:r>
        <w:rPr>
          <w:rFonts w:hint="eastAsia" w:ascii="Times New Roman" w:hAnsi="Times New Roman" w:eastAsia="仿宋_GB2312" w:cs="Times New Roman"/>
          <w:color w:val="000000"/>
          <w:sz w:val="33"/>
          <w:szCs w:val="33"/>
        </w:rPr>
        <w:t>事业，具有良好的职业道德和较强的事业心和责任感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5472217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（</w:t>
      </w:r>
      <w:r>
        <w:rPr>
          <w:rFonts w:hint="eastAsia" w:ascii="Times New Roman" w:hAnsi="Times New Roman" w:eastAsia="仿宋_GB2312" w:cs="Times New Roman"/>
          <w:sz w:val="32"/>
        </w:rPr>
        <w:t>二</w:t>
      </w:r>
      <w:r>
        <w:rPr>
          <w:rFonts w:ascii="Times New Roman" w:hAnsi="Times New Roman" w:eastAsia="仿宋_GB2312" w:cs="Times New Roman"/>
          <w:sz w:val="32"/>
        </w:rPr>
        <w:t>）在成都市行政区域内注册，具有独立法人资格，在市域内有固定生产场地，有依法缴纳税收和社会保障资金的良好记录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4F1C2DC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（</w:t>
      </w:r>
      <w:r>
        <w:rPr>
          <w:rFonts w:hint="eastAsia" w:ascii="Times New Roman" w:hAnsi="Times New Roman" w:eastAsia="仿宋_GB2312" w:cs="Times New Roman"/>
          <w:sz w:val="32"/>
        </w:rPr>
        <w:t>三</w:t>
      </w:r>
      <w:r>
        <w:rPr>
          <w:rFonts w:ascii="Times New Roman" w:hAnsi="Times New Roman" w:eastAsia="仿宋_GB2312" w:cs="Times New Roman"/>
          <w:sz w:val="32"/>
        </w:rPr>
        <w:t>）企业正常运行满2年及以上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54B39457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（</w:t>
      </w:r>
      <w:r>
        <w:rPr>
          <w:rFonts w:hint="eastAsia" w:ascii="Times New Roman" w:hAnsi="Times New Roman" w:eastAsia="仿宋_GB2312" w:cs="Times New Roman"/>
          <w:sz w:val="32"/>
        </w:rPr>
        <w:t>四</w:t>
      </w:r>
      <w:r>
        <w:rPr>
          <w:rFonts w:ascii="Times New Roman" w:hAnsi="Times New Roman" w:eastAsia="仿宋_GB2312" w:cs="Times New Roman"/>
          <w:sz w:val="32"/>
        </w:rPr>
        <w:t>）企业拥有申报产品的知识产权或专有技术权，或获得开发权，或获得该产品的使用授权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0771258E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（</w:t>
      </w:r>
      <w:r>
        <w:rPr>
          <w:rFonts w:hint="eastAsia" w:ascii="Times New Roman" w:hAnsi="Times New Roman" w:eastAsia="仿宋_GB2312" w:cs="Times New Roman"/>
          <w:sz w:val="32"/>
        </w:rPr>
        <w:t>五</w:t>
      </w:r>
      <w:r>
        <w:rPr>
          <w:rFonts w:ascii="Times New Roman" w:hAnsi="Times New Roman" w:eastAsia="仿宋_GB2312" w:cs="Times New Roman"/>
          <w:sz w:val="32"/>
        </w:rPr>
        <w:t>）企业申报产品应符合成都市轨道交通产业发展需求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62389440">
      <w:pPr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（六）</w:t>
      </w:r>
      <w:r>
        <w:rPr>
          <w:rFonts w:ascii="Times New Roman" w:hAnsi="Times New Roman" w:eastAsia="黑体" w:cs="Times New Roman"/>
          <w:sz w:val="32"/>
          <w:szCs w:val="32"/>
        </w:rPr>
        <w:t>属于下列情形之一的，不得参与</w:t>
      </w:r>
    </w:p>
    <w:p w14:paraId="06C51260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简体" w:cs="Times New Roman"/>
          <w:sz w:val="32"/>
          <w:lang w:eastAsia="zh-CN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sz w:val="32"/>
        </w:rPr>
        <w:t>3年内，发生重大</w:t>
      </w:r>
      <w:r>
        <w:rPr>
          <w:rFonts w:hint="eastAsia" w:ascii="Times New Roman" w:hAnsi="Times New Roman" w:eastAsia="仿宋_GB2312" w:cs="Times New Roman"/>
          <w:sz w:val="32"/>
        </w:rPr>
        <w:t>安全事故、</w:t>
      </w:r>
      <w:r>
        <w:rPr>
          <w:rFonts w:ascii="Times New Roman" w:hAnsi="Times New Roman" w:eastAsia="仿宋_GB2312" w:cs="Times New Roman"/>
          <w:sz w:val="32"/>
        </w:rPr>
        <w:t>质量事故</w:t>
      </w:r>
      <w:r>
        <w:rPr>
          <w:rFonts w:hint="eastAsia" w:ascii="Times New Roman" w:hAnsi="Times New Roman" w:eastAsia="仿宋_GB2312" w:cs="Times New Roman"/>
          <w:sz w:val="32"/>
        </w:rPr>
        <w:t>、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突发环境事件</w:t>
      </w:r>
      <w:r>
        <w:rPr>
          <w:rFonts w:ascii="Times New Roman" w:hAnsi="Times New Roman" w:eastAsia="仿宋_GB2312" w:cs="Times New Roman"/>
          <w:sz w:val="32"/>
        </w:rPr>
        <w:t>的企业，或被列入“信用中国”失信惩戒对象、经营异常名录、严重违法失信名单、严重失信主体名单、安全生产不良记录“黑名单”的企业</w:t>
      </w:r>
      <w:r>
        <w:rPr>
          <w:rFonts w:hint="eastAsia" w:ascii="Times New Roman" w:hAnsi="Times New Roman" w:eastAsia="仿宋_GB2312" w:cs="Times New Roman"/>
          <w:sz w:val="32"/>
        </w:rPr>
        <w:t>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涉及项目不符合成都产业发展政策和安全、环保、节能、消防、统计等法律规定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</w:p>
    <w:p w14:paraId="261980BE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2.</w:t>
      </w:r>
      <w:r>
        <w:rPr>
          <w:rFonts w:ascii="Times New Roman" w:hAnsi="Times New Roman" w:eastAsia="仿宋_GB2312" w:cs="Times New Roman"/>
          <w:sz w:val="32"/>
        </w:rPr>
        <w:t>在环境、消防、安全等信用评价及检查验收中被评为不良、不合格、停工整顿的企业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3AA9984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</w:rPr>
        <w:t>3.</w:t>
      </w:r>
      <w:r>
        <w:rPr>
          <w:rFonts w:ascii="Times New Roman" w:hAnsi="Times New Roman" w:eastAsia="仿宋_GB2312" w:cs="Times New Roman"/>
          <w:sz w:val="32"/>
        </w:rPr>
        <w:t>使用无知识产权的国（境）外商标的产品，或假冒伪劣、侵犯知识产权、存在知识产权争议或纠纷的产品（被</w:t>
      </w:r>
      <w:r>
        <w:rPr>
          <w:rFonts w:hint="eastAsia" w:ascii="Times New Roman" w:hAnsi="Times New Roman" w:eastAsia="仿宋_GB2312" w:cs="Times New Roman"/>
          <w:sz w:val="32"/>
        </w:rPr>
        <w:t>他</w:t>
      </w:r>
      <w:r>
        <w:rPr>
          <w:rFonts w:ascii="Times New Roman" w:hAnsi="Times New Roman" w:eastAsia="仿宋_GB2312" w:cs="Times New Roman"/>
          <w:sz w:val="32"/>
        </w:rPr>
        <w:t>人侵犯其知识产权的情形除外）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01E3E49F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</w:rPr>
        <w:t>4.</w:t>
      </w:r>
      <w:r>
        <w:rPr>
          <w:rFonts w:ascii="Times New Roman" w:hAnsi="Times New Roman" w:eastAsia="仿宋_GB2312" w:cs="Times New Roman"/>
          <w:sz w:val="32"/>
        </w:rPr>
        <w:t>申报产品因产品设计缺陷、质量问题等企业或产品自身原因，3年内曾导致严重的人身伤害、财产损失、环境破坏（按照国家或相关行业规定的较大及以上事故）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56FF2336">
      <w:pPr>
        <w:pStyle w:val="3"/>
        <w:keepNext w:val="0"/>
        <w:keepLines w:val="0"/>
        <w:adjustRightInd w:val="0"/>
        <w:snapToGrid w:val="0"/>
        <w:spacing w:before="0" w:after="0" w:line="59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三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、评价指标分类体系</w:t>
      </w:r>
    </w:p>
    <w:p w14:paraId="17831BDD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ascii="Times New Roman" w:hAnsi="Times New Roman" w:eastAsia="仿宋_GB2312" w:cs="Times New Roman"/>
          <w:sz w:val="32"/>
        </w:rPr>
        <w:t>为保证供给清单评审结果客观公正，本次</w:t>
      </w:r>
      <w:r>
        <w:rPr>
          <w:rFonts w:hint="eastAsia" w:ascii="Times New Roman" w:hAnsi="Times New Roman" w:eastAsia="仿宋_GB2312" w:cs="Times New Roman"/>
          <w:sz w:val="32"/>
        </w:rPr>
        <w:t>按照轨道交通产品分类</w:t>
      </w:r>
      <w:r>
        <w:rPr>
          <w:rFonts w:ascii="Times New Roman" w:hAnsi="Times New Roman" w:eastAsia="仿宋_GB2312" w:cs="Times New Roman"/>
          <w:sz w:val="32"/>
        </w:rPr>
        <w:t>对</w:t>
      </w:r>
      <w:r>
        <w:rPr>
          <w:rFonts w:hint="eastAsia" w:ascii="Times New Roman" w:hAnsi="Times New Roman" w:eastAsia="仿宋_GB2312" w:cs="Times New Roman"/>
          <w:sz w:val="32"/>
        </w:rPr>
        <w:t>各申报产品</w:t>
      </w:r>
      <w:r>
        <w:rPr>
          <w:rFonts w:ascii="Times New Roman" w:hAnsi="Times New Roman" w:eastAsia="仿宋_GB2312" w:cs="Times New Roman"/>
          <w:sz w:val="32"/>
        </w:rPr>
        <w:t>进行分类评审排名，申报企业根据主营业务规模选择细分领域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。</w:t>
      </w:r>
      <w:r>
        <w:rPr>
          <w:rFonts w:ascii="Times New Roman" w:hAnsi="Times New Roman" w:eastAsia="仿宋_GB2312" w:cs="Times New Roman"/>
          <w:sz w:val="32"/>
        </w:rPr>
        <w:t>具体分类见附件</w:t>
      </w:r>
      <w:r>
        <w:rPr>
          <w:rFonts w:hint="eastAsia" w:ascii="Times New Roman" w:hAnsi="Times New Roman" w:eastAsia="仿宋_GB2312" w:cs="Times New Roman"/>
          <w:sz w:val="32"/>
        </w:rPr>
        <w:t>1-1，评价指标体系见附件1-2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51C87B9">
      <w:pPr>
        <w:pStyle w:val="3"/>
        <w:keepNext w:val="0"/>
        <w:keepLines w:val="0"/>
        <w:adjustRightInd w:val="0"/>
        <w:snapToGrid w:val="0"/>
        <w:spacing w:before="0" w:after="0" w:line="59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四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、申报、评审及公示程序</w:t>
      </w:r>
    </w:p>
    <w:p w14:paraId="7C687D4D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</w:rPr>
        <w:t>（一）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自愿申报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Times New Roman" w:hAnsi="Times New Roman" w:eastAsia="仿宋_GB2312" w:cs="Times New Roman"/>
          <w:sz w:val="32"/>
        </w:rPr>
        <w:t>组织</w:t>
      </w:r>
      <w:r>
        <w:rPr>
          <w:rFonts w:ascii="Times New Roman" w:hAnsi="Times New Roman" w:eastAsia="仿宋_GB2312" w:cs="Times New Roman"/>
          <w:sz w:val="32"/>
        </w:rPr>
        <w:t>发布申报通知，</w:t>
      </w:r>
      <w:r>
        <w:rPr>
          <w:rFonts w:hint="eastAsia" w:ascii="Times New Roman" w:hAnsi="Times New Roman" w:eastAsia="仿宋_GB2312" w:cs="Times New Roman"/>
          <w:sz w:val="32"/>
        </w:rPr>
        <w:t>并明确遴选工作具体要求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</w:rPr>
        <w:t>企业</w:t>
      </w:r>
      <w:r>
        <w:rPr>
          <w:rFonts w:ascii="Times New Roman" w:hAnsi="Times New Roman" w:eastAsia="仿宋_GB2312" w:cs="Times New Roman"/>
          <w:sz w:val="32"/>
        </w:rPr>
        <w:t>按照自愿原则</w:t>
      </w:r>
      <w:r>
        <w:rPr>
          <w:rFonts w:hint="eastAsia" w:ascii="Times New Roman" w:hAnsi="Times New Roman" w:eastAsia="仿宋_GB2312" w:cs="Times New Roman"/>
          <w:sz w:val="32"/>
        </w:rPr>
        <w:t>进行申报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A5B63AA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</w:pPr>
      <w:r>
        <w:rPr>
          <w:rFonts w:hint="eastAsia" w:ascii="Times New Roman" w:hAnsi="Times New Roman" w:eastAsia="仿宋_GB2312" w:cs="Times New Roman"/>
          <w:sz w:val="32"/>
        </w:rPr>
        <w:t>（二）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预审推荐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组织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对申报企业、产品的资格条件及申报材料完备性进行初审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对企业申报材料不清晰或内容不完整的，不予认定通过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766863AF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（三）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复审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Times New Roman" w:hAnsi="Times New Roman" w:eastAsia="仿宋_GB2312" w:cs="Times New Roman"/>
          <w:sz w:val="32"/>
        </w:rPr>
        <w:t>确认符合申报条件的产品推荐名单，进入专家评审环节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45F45E61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</w:pP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四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）</w:t>
      </w:r>
      <w:r>
        <w:rPr>
          <w:rFonts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专家评审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组织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行业主管部门、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成都市轨道交通产业链专家委员会、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轨道交通建设及使用单位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召开评审会议，对申报产品评分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评审小组结合最终评审得分及年度评定名额，综合选取排名靠前的产品纳入建议名单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1E8224B8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</w:pP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五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）</w:t>
      </w:r>
      <w:r>
        <w:rPr>
          <w:rFonts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现场核查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从通过专家评审后的建议名单，抽取部分产品进行现场核查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6E50B7BA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</w:pP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六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）</w:t>
      </w:r>
      <w:r>
        <w:rPr>
          <w:rFonts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社会公示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向社会公示拟入选供给名单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企业和产品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，公示期为7个工作日；对公示存在异议的进行复查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1CEB718A">
      <w:pPr>
        <w:adjustRightInd w:val="0"/>
        <w:snapToGrid w:val="0"/>
        <w:spacing w:line="590" w:lineRule="exact"/>
        <w:ind w:firstLine="640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  <w14:ligatures w14:val="standardContextual"/>
        </w:rPr>
      </w:pP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七</w:t>
      </w:r>
      <w:r>
        <w:rPr>
          <w:rFonts w:ascii="Times New Roman" w:hAnsi="Times New Roman" w:eastAsia="方正仿宋_GBK" w:cs="Times New Roman"/>
          <w:sz w:val="32"/>
          <w:szCs w:val="32"/>
          <w14:ligatures w14:val="standardContextual"/>
        </w:rPr>
        <w:t>）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14:ligatures w14:val="standardContextual"/>
        </w:rPr>
        <w:t>公开发布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14:ligatures w14:val="standardContextual"/>
        </w:rPr>
        <w:t>形成产品供给清单并以市经信局市新经济委名义公开发布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35AC0C8F">
      <w:pPr>
        <w:adjustRightInd w:val="0"/>
        <w:snapToGrid w:val="0"/>
        <w:spacing w:line="590" w:lineRule="exact"/>
        <w:ind w:firstLine="420" w:firstLineChars="200"/>
        <w:rPr>
          <w:rFonts w:ascii="Times New Roman" w:hAnsi="Times New Roman" w:eastAsia="方正仿宋_GBK" w:cs="Times New Roman"/>
          <w:szCs w:val="21"/>
          <w14:ligatures w14:val="standardContextual"/>
        </w:rPr>
      </w:pPr>
    </w:p>
    <w:p w14:paraId="1FFEEFF6">
      <w:pPr>
        <w:adjustRightInd w:val="0"/>
        <w:snapToGrid w:val="0"/>
        <w:spacing w:line="590" w:lineRule="exact"/>
        <w:ind w:firstLine="420" w:firstLineChars="200"/>
        <w:rPr>
          <w:rFonts w:ascii="Times New Roman" w:hAnsi="Times New Roman" w:eastAsia="方正仿宋_GBK" w:cs="Times New Roman"/>
          <w:szCs w:val="21"/>
          <w14:ligatures w14:val="standardContextual"/>
        </w:rPr>
      </w:pPr>
    </w:p>
    <w:p w14:paraId="1EEE424A">
      <w:pPr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附件：</w:t>
      </w:r>
      <w:r>
        <w:rPr>
          <w:rFonts w:hint="eastAsia" w:ascii="Times New Roman" w:hAnsi="Times New Roman" w:eastAsia="仿宋_GB2312" w:cs="Times New Roman"/>
          <w:sz w:val="32"/>
        </w:rPr>
        <w:t>1-</w:t>
      </w:r>
      <w:r>
        <w:rPr>
          <w:rFonts w:ascii="Times New Roman" w:hAnsi="Times New Roman" w:eastAsia="仿宋_GB2312" w:cs="Times New Roman"/>
          <w:sz w:val="32"/>
        </w:rPr>
        <w:t>1.成都市轨道交通产品分类；</w:t>
      </w:r>
    </w:p>
    <w:p w14:paraId="46F3F44D">
      <w:pPr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 xml:space="preserve">      </w:t>
      </w:r>
      <w:r>
        <w:rPr>
          <w:rFonts w:hint="eastAsia" w:ascii="Times New Roman" w:hAnsi="Times New Roman" w:eastAsia="仿宋_GB2312" w:cs="Times New Roman"/>
          <w:sz w:val="32"/>
        </w:rPr>
        <w:t>1-2</w:t>
      </w:r>
      <w:r>
        <w:rPr>
          <w:rFonts w:ascii="Times New Roman" w:hAnsi="Times New Roman" w:eastAsia="仿宋_GB2312" w:cs="Times New Roman"/>
          <w:sz w:val="32"/>
        </w:rPr>
        <w:t>.成都市轨道交通产业高质量发展产品供给清单评价指标</w:t>
      </w:r>
      <w:r>
        <w:rPr>
          <w:rFonts w:hint="eastAsia" w:ascii="Times New Roman" w:hAnsi="Times New Roman" w:eastAsia="仿宋_GB2312" w:cs="Times New Roman"/>
          <w:sz w:val="32"/>
        </w:rPr>
        <w:t>及</w:t>
      </w:r>
      <w:r>
        <w:rPr>
          <w:rFonts w:ascii="Times New Roman" w:hAnsi="Times New Roman" w:eastAsia="仿宋_GB2312" w:cs="Times New Roman"/>
          <w:sz w:val="32"/>
        </w:rPr>
        <w:t>评价指标体系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  <w14:ligatures w14:val="standardContextual"/>
        </w:rPr>
        <w:t>。</w:t>
      </w:r>
    </w:p>
    <w:p w14:paraId="3E56D517">
      <w:pPr>
        <w:widowControl/>
        <w:jc w:val="left"/>
        <w:rPr>
          <w:rFonts w:ascii="Times New Roman" w:hAnsi="Times New Roman" w:eastAsia="黑体" w:cs="Times New Roman"/>
          <w14:ligatures w14:val="standardContextual"/>
        </w:rPr>
      </w:pPr>
      <w:r>
        <w:rPr>
          <w:rFonts w:ascii="Times New Roman" w:hAnsi="Times New Roman" w:cs="Times New Roman"/>
        </w:rPr>
        <w:br w:type="page"/>
      </w:r>
    </w:p>
    <w:p w14:paraId="35175402">
      <w:pPr>
        <w:pStyle w:val="4"/>
        <w:ind w:firstLine="0" w:firstLineChars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附件1</w:t>
      </w:r>
      <w:r>
        <w:rPr>
          <w:rFonts w:hint="eastAsia" w:ascii="Times New Roman" w:hAnsi="Times New Roman" w:cs="Times New Roman"/>
          <w:sz w:val="32"/>
          <w:szCs w:val="32"/>
        </w:rPr>
        <w:t>-1</w:t>
      </w:r>
    </w:p>
    <w:p w14:paraId="266ADE6C">
      <w:pPr>
        <w:adjustRightInd w:val="0"/>
        <w:snapToGrid w:val="0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</w:rPr>
        <w:t>成都市轨道交通产品分类</w:t>
      </w:r>
    </w:p>
    <w:tbl>
      <w:tblPr>
        <w:tblStyle w:val="8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380"/>
        <w:gridCol w:w="5898"/>
      </w:tblGrid>
      <w:tr w14:paraId="0775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1" w:type="dxa"/>
          </w:tcPr>
          <w:p w14:paraId="10CDAC8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kern w:val="0"/>
                <w:sz w:val="24"/>
                <w:szCs w:val="24"/>
              </w:rPr>
              <w:t>分类</w:t>
            </w:r>
          </w:p>
        </w:tc>
        <w:tc>
          <w:tcPr>
            <w:tcW w:w="7278" w:type="dxa"/>
            <w:gridSpan w:val="2"/>
          </w:tcPr>
          <w:p w14:paraId="7A2CDD3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b/>
                <w:bCs/>
                <w:kern w:val="0"/>
                <w:sz w:val="24"/>
                <w:szCs w:val="24"/>
              </w:rPr>
              <w:t>细分环节</w:t>
            </w:r>
          </w:p>
        </w:tc>
      </w:tr>
      <w:tr w14:paraId="7858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restart"/>
            <w:vAlign w:val="center"/>
          </w:tcPr>
          <w:p w14:paraId="0AEE379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轨道交通车辆系统产品</w:t>
            </w:r>
          </w:p>
        </w:tc>
        <w:tc>
          <w:tcPr>
            <w:tcW w:w="1380" w:type="dxa"/>
            <w:vAlign w:val="center"/>
          </w:tcPr>
          <w:p w14:paraId="285DF4D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整车</w:t>
            </w:r>
          </w:p>
        </w:tc>
        <w:tc>
          <w:tcPr>
            <w:tcW w:w="5898" w:type="dxa"/>
            <w:vAlign w:val="center"/>
          </w:tcPr>
          <w:p w14:paraId="3294DBC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干线动车组（含高寒高原）、川藏铁路机车车辆、磁悬浮列车、市域动车组、城市轨道交通车辆、单轨（跨座、悬挂）列车、新能源列车、电子胶轮导向捷运系统等</w:t>
            </w:r>
          </w:p>
        </w:tc>
      </w:tr>
      <w:tr w14:paraId="753F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continue"/>
            <w:vAlign w:val="center"/>
          </w:tcPr>
          <w:p w14:paraId="4735FAB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5AB98E7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关键零部件</w:t>
            </w: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系统</w:t>
            </w:r>
          </w:p>
        </w:tc>
        <w:tc>
          <w:tcPr>
            <w:tcW w:w="5898" w:type="dxa"/>
            <w:vAlign w:val="center"/>
          </w:tcPr>
          <w:p w14:paraId="7DAC2A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转向架及悬挂系统、制动系统、牵引及辅助电气系统、车门、车体及内装、车钩缓冲装置、列车控制及信息系统、空调及通风系统、给排水系统、智能运维系统等</w:t>
            </w:r>
          </w:p>
        </w:tc>
      </w:tr>
      <w:tr w14:paraId="7DE49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continue"/>
            <w:vAlign w:val="center"/>
          </w:tcPr>
          <w:p w14:paraId="30186D1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157188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其它零部件</w:t>
            </w:r>
          </w:p>
        </w:tc>
        <w:tc>
          <w:tcPr>
            <w:tcW w:w="5898" w:type="dxa"/>
            <w:vAlign w:val="center"/>
          </w:tcPr>
          <w:p w14:paraId="30E34DD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轨道交通车辆用金属材料、无机非金属材料、高分子材料、五金件、紧固件、机加工件等零部件</w:t>
            </w:r>
          </w:p>
        </w:tc>
      </w:tr>
      <w:tr w14:paraId="1F39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restart"/>
            <w:vAlign w:val="center"/>
          </w:tcPr>
          <w:p w14:paraId="1399EB2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轨道交通机电系统产品</w:t>
            </w:r>
          </w:p>
        </w:tc>
        <w:tc>
          <w:tcPr>
            <w:tcW w:w="1380" w:type="dxa"/>
            <w:vAlign w:val="center"/>
          </w:tcPr>
          <w:p w14:paraId="635854E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机电设备</w:t>
            </w:r>
          </w:p>
        </w:tc>
        <w:tc>
          <w:tcPr>
            <w:tcW w:w="5898" w:type="dxa"/>
            <w:vAlign w:val="center"/>
          </w:tcPr>
          <w:p w14:paraId="6141E88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通信、信号、综合监控、屏蔽门</w:t>
            </w: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设备，轨道交通专用</w:t>
            </w: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通风及空调、动力照明、电扶梯、给排水设备、消防喷淋系统等设备及其智能管理系统</w:t>
            </w:r>
          </w:p>
        </w:tc>
      </w:tr>
      <w:tr w14:paraId="400A6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continue"/>
            <w:vAlign w:val="center"/>
          </w:tcPr>
          <w:p w14:paraId="4DE7653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5505187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供能设备</w:t>
            </w:r>
          </w:p>
        </w:tc>
        <w:tc>
          <w:tcPr>
            <w:tcW w:w="5898" w:type="dxa"/>
            <w:vAlign w:val="center"/>
          </w:tcPr>
          <w:p w14:paraId="6D757DD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变电所、配电柜、接触网及其支架、变压器、装备电机、集电装置、电源控制系统、制氢设备、供氢系统等设备及其智能管理系统</w:t>
            </w:r>
          </w:p>
        </w:tc>
      </w:tr>
      <w:tr w14:paraId="598FD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continue"/>
            <w:vAlign w:val="center"/>
          </w:tcPr>
          <w:p w14:paraId="6D59805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9282AF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工程装备</w:t>
            </w:r>
          </w:p>
        </w:tc>
        <w:tc>
          <w:tcPr>
            <w:tcW w:w="5898" w:type="dxa"/>
            <w:vAlign w:val="center"/>
          </w:tcPr>
          <w:p w14:paraId="0124BE5C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起重机、升降机、搅拌机、铺轨机、架桥机、盾构机、工程车、检修车辆、生产专用车辆等设备及其智能管理系统</w:t>
            </w:r>
          </w:p>
        </w:tc>
      </w:tr>
      <w:tr w14:paraId="734A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restart"/>
            <w:vAlign w:val="center"/>
          </w:tcPr>
          <w:p w14:paraId="136631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轨道交通配套产品</w:t>
            </w:r>
          </w:p>
        </w:tc>
        <w:tc>
          <w:tcPr>
            <w:tcW w:w="1380" w:type="dxa"/>
            <w:vAlign w:val="center"/>
          </w:tcPr>
          <w:p w14:paraId="5BBD5D0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专用设备</w:t>
            </w:r>
          </w:p>
        </w:tc>
        <w:tc>
          <w:tcPr>
            <w:tcW w:w="5898" w:type="dxa"/>
            <w:vAlign w:val="center"/>
          </w:tcPr>
          <w:p w14:paraId="357101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轨道交通制造、检修、检验检测类专用设备或智能系统；轨道交通专用智能管理系统</w:t>
            </w: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1954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continue"/>
            <w:vAlign w:val="center"/>
          </w:tcPr>
          <w:p w14:paraId="40086DB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B302EB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产线设备</w:t>
            </w:r>
          </w:p>
        </w:tc>
        <w:tc>
          <w:tcPr>
            <w:tcW w:w="5898" w:type="dxa"/>
            <w:vAlign w:val="center"/>
          </w:tcPr>
          <w:p w14:paraId="12A91CB7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轨道交通</w:t>
            </w: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车辆</w:t>
            </w: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生产线、</w:t>
            </w:r>
            <w:r>
              <w:rPr>
                <w:rFonts w:hint="eastAsia" w:ascii="Times New Roman" w:hAnsi="Times New Roman" w:eastAsia="方正楷体_GBK" w:cs="Times New Roman"/>
                <w:kern w:val="0"/>
                <w:sz w:val="24"/>
                <w:szCs w:val="24"/>
              </w:rPr>
              <w:t>车辆检修产线</w:t>
            </w: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及其智能管理系统</w:t>
            </w:r>
          </w:p>
        </w:tc>
      </w:tr>
      <w:tr w14:paraId="3C241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1" w:type="dxa"/>
            <w:vMerge w:val="continue"/>
            <w:vAlign w:val="center"/>
          </w:tcPr>
          <w:p w14:paraId="2651D04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59626E0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其它配套设备</w:t>
            </w:r>
          </w:p>
        </w:tc>
        <w:tc>
          <w:tcPr>
            <w:tcW w:w="5898" w:type="dxa"/>
            <w:vAlign w:val="center"/>
          </w:tcPr>
          <w:p w14:paraId="3A039AA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_GBK" w:cs="Times New Roman"/>
                <w:kern w:val="0"/>
                <w:sz w:val="24"/>
                <w:szCs w:val="24"/>
              </w:rPr>
              <w:t>轨道交通配套用检测监测设备、工程构件、桥隧产品、减振降噪产品、齿轮、钻头、刀具、润滑油、精密加工通用设备等配件与耗材</w:t>
            </w:r>
          </w:p>
        </w:tc>
      </w:tr>
    </w:tbl>
    <w:p w14:paraId="70EC27B9">
      <w:pPr>
        <w:widowControl/>
        <w:jc w:val="left"/>
        <w:rPr>
          <w:rFonts w:ascii="Times New Roman" w:hAnsi="Times New Roman" w:eastAsia="黑体" w:cs="Times New Roman"/>
          <w:sz w:val="22"/>
          <w:szCs w:val="28"/>
        </w:rPr>
      </w:pPr>
      <w:r>
        <w:rPr>
          <w:rFonts w:ascii="Times New Roman" w:hAnsi="Times New Roman" w:cs="Times New Roman"/>
        </w:rPr>
        <w:br w:type="page"/>
      </w:r>
    </w:p>
    <w:p w14:paraId="01F8F755">
      <w:pPr>
        <w:pStyle w:val="4"/>
        <w:ind w:firstLine="0" w:firstLineChars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附件</w:t>
      </w:r>
      <w:r>
        <w:rPr>
          <w:rFonts w:hint="eastAsia" w:ascii="Times New Roman" w:hAnsi="Times New Roman" w:cs="Times New Roman"/>
          <w:sz w:val="32"/>
          <w:szCs w:val="32"/>
        </w:rPr>
        <w:t>1-</w:t>
      </w:r>
      <w:r>
        <w:rPr>
          <w:rFonts w:ascii="Times New Roman" w:hAnsi="Times New Roman" w:cs="Times New Roman"/>
          <w:sz w:val="32"/>
          <w:szCs w:val="32"/>
        </w:rPr>
        <w:t>2</w:t>
      </w:r>
    </w:p>
    <w:p w14:paraId="6133B90B">
      <w:pPr>
        <w:adjustRightInd w:val="0"/>
        <w:snapToGrid w:val="0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</w:rPr>
        <w:t>成都市轨道交通产业高质量发展</w:t>
      </w:r>
    </w:p>
    <w:p w14:paraId="734F77A2">
      <w:pPr>
        <w:adjustRightInd w:val="0"/>
        <w:snapToGrid w:val="0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</w:rPr>
        <w:t>产品供给清单</w:t>
      </w:r>
      <w:r>
        <w:rPr>
          <w:rFonts w:eastAsia="方正小标宋简体"/>
          <w:bCs/>
          <w:sz w:val="36"/>
          <w:szCs w:val="36"/>
        </w:rPr>
        <w:t>评价指标</w:t>
      </w:r>
    </w:p>
    <w:p w14:paraId="384E4404">
      <w:pPr>
        <w:adjustRightInd w:val="0"/>
        <w:snapToGrid w:val="0"/>
        <w:spacing w:line="100" w:lineRule="exact"/>
        <w:ind w:firstLine="720"/>
        <w:jc w:val="center"/>
        <w:rPr>
          <w:rFonts w:eastAsia="方正小标宋简体"/>
          <w:bCs/>
          <w:sz w:val="36"/>
          <w:szCs w:val="36"/>
        </w:rPr>
      </w:pPr>
    </w:p>
    <w:tbl>
      <w:tblPr>
        <w:tblStyle w:val="7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1791"/>
        <w:gridCol w:w="1083"/>
        <w:gridCol w:w="657"/>
        <w:gridCol w:w="3737"/>
      </w:tblGrid>
      <w:tr w14:paraId="430BF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2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4F3C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hint="eastAsia" w:eastAsia="方正黑体简体"/>
                <w:szCs w:val="21"/>
              </w:rPr>
              <w:t>基本条件</w:t>
            </w:r>
          </w:p>
        </w:tc>
      </w:tr>
      <w:tr w14:paraId="58B0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50FE">
            <w:pPr>
              <w:adjustRightInd w:val="0"/>
              <w:snapToGrid w:val="0"/>
              <w:spacing w:line="300" w:lineRule="exact"/>
              <w:rPr>
                <w:rFonts w:eastAsia="方正黑体简体"/>
                <w:szCs w:val="21"/>
              </w:rPr>
            </w:pPr>
            <w:r>
              <w:rPr>
                <w:rFonts w:hint="eastAsia" w:eastAsia="方正黑体简体"/>
                <w:szCs w:val="21"/>
              </w:rPr>
              <w:t>1、在成都市行政区域内注册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FFED9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是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14:paraId="66D95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270B">
            <w:pPr>
              <w:adjustRightInd w:val="0"/>
              <w:snapToGrid w:val="0"/>
              <w:spacing w:line="300" w:lineRule="exact"/>
              <w:rPr>
                <w:rFonts w:eastAsia="方正黑体简体"/>
                <w:szCs w:val="21"/>
              </w:rPr>
            </w:pPr>
            <w:r>
              <w:rPr>
                <w:rFonts w:hint="eastAsia" w:eastAsia="方正黑体简体"/>
                <w:szCs w:val="21"/>
              </w:rPr>
              <w:t>2、具有独立法人资格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09B7A">
            <w:pPr>
              <w:pStyle w:val="2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是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14:paraId="50044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12EC">
            <w:pPr>
              <w:adjustRightInd w:val="0"/>
              <w:snapToGrid w:val="0"/>
              <w:spacing w:line="300" w:lineRule="exact"/>
              <w:rPr>
                <w:rFonts w:eastAsia="方正黑体简体"/>
                <w:szCs w:val="21"/>
              </w:rPr>
            </w:pPr>
            <w:r>
              <w:rPr>
                <w:rFonts w:hint="eastAsia" w:eastAsia="方正黑体简体"/>
                <w:szCs w:val="21"/>
              </w:rPr>
              <w:t>3、在市域内有固定生产场地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AB73C">
            <w:pPr>
              <w:pStyle w:val="2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是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14:paraId="11DE4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82D6A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4、有依法缴纳税收和社会保障资金的良好记录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3248F">
            <w:pPr>
              <w:pStyle w:val="2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是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14:paraId="45460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46EC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5、企业正常运行满2年及以上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95E9">
            <w:pPr>
              <w:pStyle w:val="2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是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14:paraId="0AC1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F6AC3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6、企业拥有申报产品的知识产权或专有技术权，或获得开发权，或获得该产品的使用授权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B14D">
            <w:pPr>
              <w:pStyle w:val="2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是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14:paraId="11C52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2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D69D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hint="eastAsia" w:eastAsia="方正黑体简体"/>
                <w:szCs w:val="21"/>
              </w:rPr>
              <w:t>如出现以下情形，终止参评</w:t>
            </w:r>
          </w:p>
        </w:tc>
      </w:tr>
      <w:tr w14:paraId="1583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AF485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1、3年内，发生重大安全事故、质量事故、突发环境事件的企业，或被列入“信用中国”失信惩戒对象、经营异常名录、严重违法失信名单、严重失信主体名单、安全生产不良记录“黑名单”的企业，涉及项目不符合成都产业发展政策和安全、环保、节能、消防、统计等法律规定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BB6A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有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11B1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5F024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2、在环境、消防、安全等信用评价及检查验收中被评为不良、不合格、停工整顿的企业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A9B0D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有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136A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BC58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3、使用无知识产权的国（境）外商标的产品，或假冒伪劣、侵犯知识产权、存在知识产权争议或纠纷的产品（被他人侵犯其知识产权的情形除外）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462FE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有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82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4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8EDF7">
            <w:pPr>
              <w:adjustRightInd w:val="0"/>
              <w:snapToGrid w:val="0"/>
              <w:spacing w:line="300" w:lineRule="exact"/>
              <w:rPr>
                <w:rFonts w:hint="eastAsia" w:eastAsia="方正黑体简体"/>
                <w:szCs w:val="21"/>
                <w:lang w:eastAsia="zh-CN"/>
              </w:rPr>
            </w:pPr>
            <w:r>
              <w:rPr>
                <w:rFonts w:hint="eastAsia" w:eastAsia="方正黑体简体"/>
                <w:szCs w:val="21"/>
              </w:rPr>
              <w:t>4、申报产品因产品设计缺陷、质量问题等企业或产品自身原因，3年内曾导致严重的人身伤害、财产损失、环境破坏（按照国家或相关行业规定的较大及以上事故）</w:t>
            </w:r>
            <w:r>
              <w:rPr>
                <w:rFonts w:hint="eastAsia" w:eastAsia="方正黑体简体"/>
                <w:szCs w:val="21"/>
                <w:lang w:eastAsia="zh-CN"/>
              </w:rPr>
              <w:t>。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E0854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 xml:space="preserve">有      </w:t>
            </w:r>
            <w:r>
              <w:rPr>
                <w:rFonts w:hint="eastAsia"/>
                <w:sz w:val="24"/>
                <w:szCs w:val="24"/>
              </w:rPr>
              <w:sym w:font="Wingdings" w:char="F0A8"/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8FC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89E4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一级指标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09BE4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二级指标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925D0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hint="eastAsia" w:eastAsia="方正黑体简体"/>
                <w:szCs w:val="21"/>
              </w:rPr>
              <w:t>占比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C67F0"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Cs w:val="21"/>
              </w:rPr>
            </w:pPr>
            <w:r>
              <w:rPr>
                <w:rFonts w:eastAsia="方正黑体简体"/>
                <w:szCs w:val="21"/>
              </w:rPr>
              <w:t>三级指标</w:t>
            </w:r>
          </w:p>
        </w:tc>
      </w:tr>
      <w:tr w14:paraId="3277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94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896E033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企业综合评价</w:t>
            </w:r>
          </w:p>
          <w:p w14:paraId="713763CF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（20</w:t>
            </w:r>
            <w:r>
              <w:rPr>
                <w:szCs w:val="21"/>
              </w:rPr>
              <w:t>分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7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331E95D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企业规模能级</w:t>
            </w:r>
          </w:p>
        </w:tc>
        <w:tc>
          <w:tcPr>
            <w:tcW w:w="174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282AFA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分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B1EB6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bCs/>
                <w:kern w:val="0"/>
                <w:szCs w:val="21"/>
              </w:rPr>
              <w:t>企业规模</w:t>
            </w:r>
          </w:p>
        </w:tc>
      </w:tr>
      <w:tr w14:paraId="0776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516135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E44FC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F7EF86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9868C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营收情况</w:t>
            </w:r>
          </w:p>
        </w:tc>
      </w:tr>
      <w:tr w14:paraId="3B356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1A3FF0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212E2B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8191C6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B96B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纳税情况</w:t>
            </w:r>
          </w:p>
        </w:tc>
      </w:tr>
      <w:tr w14:paraId="6A423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E64CF2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DB6CF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CBD296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60BA7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研发投入</w:t>
            </w:r>
          </w:p>
        </w:tc>
      </w:tr>
      <w:tr w14:paraId="0CFD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8965F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0B2040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E10E52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CAF8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创新平台</w:t>
            </w:r>
          </w:p>
        </w:tc>
      </w:tr>
      <w:tr w14:paraId="33B2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9D22C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327C2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7F470C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0A1A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行业认证</w:t>
            </w:r>
          </w:p>
        </w:tc>
      </w:tr>
      <w:tr w14:paraId="3A2BD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71E45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814DD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CA37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954E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创新先进性</w:t>
            </w:r>
          </w:p>
        </w:tc>
      </w:tr>
      <w:tr w14:paraId="2A98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7E8813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产品综合评价</w:t>
            </w:r>
          </w:p>
          <w:p w14:paraId="3FA7456B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（40分）</w:t>
            </w:r>
          </w:p>
        </w:tc>
        <w:tc>
          <w:tcPr>
            <w:tcW w:w="17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6228D">
            <w:pPr>
              <w:adjustRightInd w:val="0"/>
              <w:snapToGrid w:val="0"/>
              <w:spacing w:line="30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产品重要度</w:t>
            </w:r>
          </w:p>
        </w:tc>
        <w:tc>
          <w:tcPr>
            <w:tcW w:w="17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A63C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10分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B1042">
            <w:pPr>
              <w:adjustRightInd w:val="0"/>
              <w:snapToGrid w:val="0"/>
              <w:spacing w:line="30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重要程度</w:t>
            </w:r>
          </w:p>
        </w:tc>
      </w:tr>
      <w:tr w14:paraId="6168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7791F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911C49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产品先进性</w:t>
            </w:r>
          </w:p>
        </w:tc>
        <w:tc>
          <w:tcPr>
            <w:tcW w:w="174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FC4E4BE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分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9AEB7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产品知识产权数量</w:t>
            </w:r>
          </w:p>
        </w:tc>
      </w:tr>
      <w:tr w14:paraId="18E8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74FD6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9CA60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32B88B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5BCD2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产品先进性奖项</w:t>
            </w:r>
          </w:p>
        </w:tc>
      </w:tr>
      <w:tr w14:paraId="7D48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A8D4D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75A05A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A20759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136E9">
            <w:pPr>
              <w:adjustRightInd w:val="0"/>
              <w:snapToGrid w:val="0"/>
              <w:spacing w:line="30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产品标准制定</w:t>
            </w:r>
          </w:p>
        </w:tc>
      </w:tr>
      <w:tr w14:paraId="76C5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D0A4B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A0A468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FF65D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AF353">
            <w:pPr>
              <w:adjustRightInd w:val="0"/>
              <w:snapToGrid w:val="0"/>
              <w:spacing w:line="3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产品体系认证</w:t>
            </w:r>
          </w:p>
        </w:tc>
      </w:tr>
      <w:tr w14:paraId="1A4D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166929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F7F27C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行业影响力</w:t>
            </w:r>
          </w:p>
        </w:tc>
        <w:tc>
          <w:tcPr>
            <w:tcW w:w="17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016374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分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8847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产品业绩</w:t>
            </w:r>
          </w:p>
        </w:tc>
      </w:tr>
      <w:tr w14:paraId="2D93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981D3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E82F8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60DFC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FBB46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用户评价</w:t>
            </w:r>
          </w:p>
        </w:tc>
      </w:tr>
      <w:tr w14:paraId="020D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E5182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17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1A995">
            <w:pPr>
              <w:widowControl/>
              <w:ind w:firstLine="420"/>
              <w:jc w:val="center"/>
              <w:rPr>
                <w:szCs w:val="21"/>
              </w:rPr>
            </w:pPr>
          </w:p>
        </w:tc>
        <w:tc>
          <w:tcPr>
            <w:tcW w:w="17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5E074">
            <w:pPr>
              <w:widowControl/>
              <w:ind w:firstLine="420"/>
              <w:jc w:val="left"/>
              <w:rPr>
                <w:szCs w:val="21"/>
              </w:rPr>
            </w:pP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B0D1B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媒体宣传</w:t>
            </w:r>
          </w:p>
        </w:tc>
      </w:tr>
      <w:tr w14:paraId="2D59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86FC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产品综合评估</w:t>
            </w:r>
          </w:p>
          <w:p w14:paraId="0AF9DC76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（40分）</w:t>
            </w:r>
          </w:p>
        </w:tc>
        <w:tc>
          <w:tcPr>
            <w:tcW w:w="726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AF7ED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1、此项</w:t>
            </w:r>
            <w:r>
              <w:rPr>
                <w:rFonts w:hint="eastAsia"/>
                <w:b/>
                <w:bCs/>
                <w:szCs w:val="21"/>
              </w:rPr>
              <w:t>技术层面</w:t>
            </w:r>
            <w:r>
              <w:rPr>
                <w:rFonts w:hint="eastAsia"/>
                <w:szCs w:val="21"/>
              </w:rPr>
              <w:t>由</w:t>
            </w:r>
            <w:r>
              <w:rPr>
                <w:rFonts w:hint="eastAsia"/>
                <w:b/>
                <w:bCs/>
                <w:szCs w:val="21"/>
              </w:rPr>
              <w:t>专家委员会</w:t>
            </w:r>
            <w:r>
              <w:rPr>
                <w:rFonts w:hint="eastAsia"/>
                <w:szCs w:val="21"/>
              </w:rPr>
              <w:t>，根据企业提供的材料进行综合评估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内容包括但不限于：</w:t>
            </w:r>
          </w:p>
          <w:p w14:paraId="00C2BE36">
            <w:pPr>
              <w:adjustRightInd w:val="0"/>
              <w:snapToGrid w:val="0"/>
              <w:spacing w:line="300" w:lineRule="exact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（1）先进程度（产品突出功能或性能指标的先进程度等）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1018405">
            <w:pPr>
              <w:adjustRightInd w:val="0"/>
              <w:snapToGrid w:val="0"/>
              <w:spacing w:line="300" w:lineRule="exact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（2）成熟度（技术落地情况、稳定性和应用效果等）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AD1CD37">
            <w:pPr>
              <w:adjustRightInd w:val="0"/>
              <w:snapToGrid w:val="0"/>
              <w:spacing w:line="300" w:lineRule="exact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（3）发展潜力（产品在“卡脖子”、“补短板”、“锻长板”、“填空白”等方面取得成效）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B924A8B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</w:p>
          <w:p w14:paraId="30B31D97"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2、此项</w:t>
            </w:r>
            <w:r>
              <w:rPr>
                <w:rFonts w:hint="eastAsia"/>
                <w:b/>
                <w:bCs/>
                <w:szCs w:val="21"/>
              </w:rPr>
              <w:t>行业层面</w:t>
            </w:r>
            <w:r>
              <w:rPr>
                <w:rFonts w:hint="eastAsia"/>
                <w:szCs w:val="21"/>
              </w:rPr>
              <w:t>由行业主管部门、</w:t>
            </w:r>
            <w:r>
              <w:rPr>
                <w:rFonts w:hint="eastAsia"/>
                <w:b/>
                <w:bCs/>
                <w:szCs w:val="21"/>
              </w:rPr>
              <w:t>轨道交通建设及使用单位</w:t>
            </w:r>
            <w:r>
              <w:rPr>
                <w:rFonts w:hint="eastAsia"/>
                <w:szCs w:val="21"/>
              </w:rPr>
              <w:t>，根据企业提供的材料进行综合评估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内容包括但不限于：</w:t>
            </w:r>
          </w:p>
          <w:p w14:paraId="7AB78231">
            <w:pPr>
              <w:adjustRightInd w:val="0"/>
              <w:snapToGrid w:val="0"/>
              <w:spacing w:line="300" w:lineRule="exact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（1）产销布局（国内/本地市场占有率、海外市场业绩等）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17FC0C0">
            <w:pPr>
              <w:adjustRightInd w:val="0"/>
              <w:snapToGrid w:val="0"/>
              <w:spacing w:line="300" w:lineRule="exact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（2）服务水平（技术服务、售后服务、业务配合等）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8465624">
            <w:pPr>
              <w:adjustRightInd w:val="0"/>
              <w:snapToGrid w:val="0"/>
              <w:spacing w:line="300" w:lineRule="exact"/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（3）产业需求（申报产品是否符合成都市轨道交通产业发展需求）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</w:tr>
      <w:tr w14:paraId="790C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06259">
            <w:pPr>
              <w:adjustRightInd w:val="0"/>
              <w:snapToGrid w:val="0"/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</w:tc>
        <w:tc>
          <w:tcPr>
            <w:tcW w:w="7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495A">
            <w:pPr>
              <w:adjustRightInd w:val="0"/>
              <w:snapToGrid w:val="0"/>
              <w:spacing w:line="300" w:lineRule="exact"/>
              <w:ind w:firstLine="420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1</w:t>
            </w:r>
            <w:r>
              <w:rPr>
                <w:rFonts w:hint="eastAsia"/>
                <w:bCs/>
                <w:kern w:val="0"/>
                <w:szCs w:val="21"/>
              </w:rPr>
              <w:t>00</w:t>
            </w:r>
            <w:r>
              <w:rPr>
                <w:bCs/>
                <w:kern w:val="0"/>
                <w:szCs w:val="21"/>
              </w:rPr>
              <w:t>分</w:t>
            </w:r>
          </w:p>
        </w:tc>
      </w:tr>
    </w:tbl>
    <w:p w14:paraId="09F3FC88">
      <w:pPr>
        <w:widowControl/>
        <w:jc w:val="left"/>
        <w:rPr>
          <w:rFonts w:ascii="Times New Roman" w:hAnsi="Times New Roman" w:eastAsia="黑体" w:cs="Times New Roman"/>
          <w:sz w:val="22"/>
          <w:szCs w:val="28"/>
        </w:rPr>
      </w:pPr>
      <w:r>
        <w:rPr>
          <w:rFonts w:ascii="Times New Roman" w:hAnsi="Times New Roman" w:cs="Times New Roman"/>
        </w:rPr>
        <w:br w:type="page"/>
      </w:r>
    </w:p>
    <w:p w14:paraId="25328168">
      <w:pPr>
        <w:adjustRightInd w:val="0"/>
        <w:snapToGrid w:val="0"/>
        <w:jc w:val="center"/>
        <w:rPr>
          <w:rFonts w:eastAsia="方正小标宋简体"/>
          <w:bCs/>
          <w:sz w:val="36"/>
          <w:szCs w:val="36"/>
        </w:rPr>
      </w:pPr>
      <w:bookmarkStart w:id="0" w:name="_Hlk169712457"/>
      <w:r>
        <w:rPr>
          <w:rFonts w:hint="eastAsia" w:eastAsia="方正小标宋简体"/>
          <w:bCs/>
          <w:sz w:val="36"/>
          <w:szCs w:val="36"/>
        </w:rPr>
        <w:t>成都市轨道交通产业高质量发展</w:t>
      </w:r>
    </w:p>
    <w:p w14:paraId="2A9A8E3A">
      <w:pPr>
        <w:adjustRightInd w:val="0"/>
        <w:snapToGrid w:val="0"/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</w:rPr>
        <w:t>产品供给清单评价指标体系</w:t>
      </w:r>
    </w:p>
    <w:tbl>
      <w:tblPr>
        <w:tblStyle w:val="1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701"/>
        <w:gridCol w:w="6804"/>
      </w:tblGrid>
      <w:tr w14:paraId="0F02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064F13BA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类别</w:t>
            </w:r>
          </w:p>
        </w:tc>
        <w:tc>
          <w:tcPr>
            <w:tcW w:w="1701" w:type="dxa"/>
            <w:vAlign w:val="center"/>
          </w:tcPr>
          <w:p w14:paraId="22B47314">
            <w:pPr>
              <w:jc w:val="center"/>
              <w:rPr>
                <w:rFonts w:hint="eastAsia" w:ascii="等线" w:hAnsi="等线" w:eastAsia="黑体"/>
                <w:b/>
                <w:bCs/>
              </w:rPr>
            </w:pPr>
            <w:r>
              <w:rPr>
                <w:rFonts w:hint="eastAsia" w:ascii="等线" w:hAnsi="等线" w:eastAsia="黑体"/>
                <w:b/>
                <w:bCs/>
              </w:rPr>
              <w:t>评价项目</w:t>
            </w:r>
          </w:p>
        </w:tc>
        <w:tc>
          <w:tcPr>
            <w:tcW w:w="6804" w:type="dxa"/>
            <w:vAlign w:val="center"/>
          </w:tcPr>
          <w:p w14:paraId="7FAF9C0E">
            <w:pPr>
              <w:jc w:val="center"/>
              <w:rPr>
                <w:rFonts w:hint="eastAsia" w:ascii="等线" w:hAnsi="等线" w:eastAsia="黑体"/>
                <w:b/>
                <w:bCs/>
              </w:rPr>
            </w:pPr>
            <w:r>
              <w:rPr>
                <w:rFonts w:hint="eastAsia" w:ascii="等线" w:hAnsi="等线" w:eastAsia="黑体"/>
                <w:b/>
                <w:bCs/>
              </w:rPr>
              <w:t>评价标准</w:t>
            </w:r>
          </w:p>
        </w:tc>
      </w:tr>
      <w:tr w14:paraId="1996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7837DAF9">
            <w:pPr>
              <w:jc w:val="center"/>
              <w:rPr>
                <w:rFonts w:hint="eastAsia" w:ascii="等线" w:hAnsi="等线" w:eastAsia="黑体"/>
                <w:b/>
                <w:bCs/>
              </w:rPr>
            </w:pPr>
            <w:r>
              <w:rPr>
                <w:rFonts w:hint="eastAsia" w:ascii="等线" w:hAnsi="等线" w:eastAsia="黑体"/>
              </w:rPr>
              <w:t>企业综合评价</w:t>
            </w:r>
            <w:r>
              <w:rPr>
                <w:rFonts w:hint="eastAsia" w:ascii="等线" w:hAnsi="等线" w:eastAsia="黑体"/>
                <w:b/>
                <w:bCs/>
              </w:rPr>
              <w:t>20</w:t>
            </w:r>
          </w:p>
          <w:p w14:paraId="11D8892E">
            <w:pPr>
              <w:jc w:val="center"/>
              <w:rPr>
                <w:rFonts w:hint="eastAsia" w:ascii="等线" w:hAnsi="等线" w:eastAsia="等线"/>
              </w:rPr>
            </w:pPr>
            <w:r>
              <w:rPr>
                <w:rFonts w:hint="eastAsia" w:ascii="等线" w:hAnsi="等线" w:eastAsia="黑体"/>
              </w:rPr>
              <w:t>分</w:t>
            </w:r>
          </w:p>
        </w:tc>
        <w:tc>
          <w:tcPr>
            <w:tcW w:w="1701" w:type="dxa"/>
            <w:vAlign w:val="center"/>
          </w:tcPr>
          <w:p w14:paraId="3B1373F7">
            <w:pPr>
              <w:spacing w:line="400" w:lineRule="exact"/>
              <w:jc w:val="center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企业规模能级</w:t>
            </w:r>
          </w:p>
          <w:p w14:paraId="7454A4CB">
            <w:pPr>
              <w:spacing w:line="400" w:lineRule="exact"/>
              <w:jc w:val="center"/>
              <w:rPr>
                <w:rFonts w:hint="eastAsia" w:ascii="等线" w:hAnsi="等线" w:eastAsia="等线"/>
              </w:rPr>
            </w:pPr>
            <w:r>
              <w:rPr>
                <w:rFonts w:hint="eastAsia" w:ascii="等线" w:hAnsi="等线" w:eastAsia="方正楷体_GBK"/>
              </w:rPr>
              <w:t>（最高</w:t>
            </w:r>
            <w:r>
              <w:rPr>
                <w:rFonts w:hint="eastAsia" w:ascii="等线" w:hAnsi="等线" w:eastAsia="方正楷体_GBK"/>
                <w:b/>
                <w:bCs/>
              </w:rPr>
              <w:t>20</w:t>
            </w:r>
            <w:r>
              <w:rPr>
                <w:rFonts w:hint="eastAsia" w:ascii="等线" w:hAnsi="等线" w:eastAsia="方正楷体_GBK"/>
              </w:rPr>
              <w:t>分）</w:t>
            </w:r>
          </w:p>
        </w:tc>
        <w:tc>
          <w:tcPr>
            <w:tcW w:w="6804" w:type="dxa"/>
            <w:vAlign w:val="center"/>
          </w:tcPr>
          <w:p w14:paraId="44E11485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1、企业规模</w:t>
            </w:r>
          </w:p>
          <w:p w14:paraId="09DD1D18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（1）国家级专精特新“小巨人”、国家制造业单项冠军企业、国家级高新技术企业、中国制造业500强等国家级荣誉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2B1CEFB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</w:t>
            </w:r>
            <w:r>
              <w:rPr>
                <w:rFonts w:ascii="等线" w:hAnsi="等线" w:eastAsia="方正楷体_GBK"/>
              </w:rPr>
              <w:t>2</w:t>
            </w:r>
            <w:r>
              <w:rPr>
                <w:rFonts w:hint="eastAsia" w:ascii="等线" w:hAnsi="等线" w:eastAsia="方正楷体_GBK"/>
              </w:rPr>
              <w:t>）四川省“专精特新”中小企业、四川省企业100强、四川制造业企业100强、四川省高新技术企业、四川省制造业贡嘎培优企业等省部级荣誉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7A5E1B91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</w:t>
            </w:r>
            <w:r>
              <w:rPr>
                <w:rFonts w:ascii="等线" w:hAnsi="等线" w:eastAsia="方正楷体_GBK"/>
              </w:rPr>
              <w:t>3</w:t>
            </w:r>
            <w:r>
              <w:rPr>
                <w:rFonts w:hint="eastAsia" w:ascii="等线" w:hAnsi="等线" w:eastAsia="方正楷体_GBK"/>
              </w:rPr>
              <w:t>）成都市高新技术企业、成都企业100强、成都制造业100强、成都民营企业100强等市级荣誉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  <w:p w14:paraId="07548636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2、营收情况</w:t>
            </w:r>
          </w:p>
          <w:p w14:paraId="50AD8BD3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（1）近</w:t>
            </w:r>
            <w:r>
              <w:rPr>
                <w:rFonts w:ascii="等线" w:hAnsi="等线" w:eastAsia="方正楷体_GBK"/>
              </w:rPr>
              <w:t>3年总营收大于</w:t>
            </w:r>
            <w:r>
              <w:rPr>
                <w:rFonts w:hint="eastAsia" w:ascii="等线" w:hAnsi="等线" w:eastAsia="方正楷体_GBK"/>
              </w:rPr>
              <w:t>5</w:t>
            </w:r>
            <w:r>
              <w:rPr>
                <w:rFonts w:ascii="等线" w:hAnsi="等线" w:eastAsia="方正楷体_GBK"/>
              </w:rPr>
              <w:t>亿元</w:t>
            </w:r>
            <w:r>
              <w:rPr>
                <w:rFonts w:hint="eastAsia" w:ascii="等线" w:hAnsi="等线" w:eastAsia="方正楷体_GBK"/>
              </w:rPr>
              <w:t>及以上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2CD9FF10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（2）近</w:t>
            </w:r>
            <w:r>
              <w:rPr>
                <w:rFonts w:ascii="等线" w:hAnsi="等线" w:eastAsia="方正楷体_GBK"/>
              </w:rPr>
              <w:t>3年总营收在1亿元至</w:t>
            </w:r>
            <w:r>
              <w:rPr>
                <w:rFonts w:hint="eastAsia" w:ascii="等线" w:hAnsi="等线" w:eastAsia="方正楷体_GBK"/>
              </w:rPr>
              <w:t>5</w:t>
            </w:r>
            <w:r>
              <w:rPr>
                <w:rFonts w:ascii="等线" w:hAnsi="等线" w:eastAsia="方正楷体_GBK"/>
              </w:rPr>
              <w:t>亿元（含）之间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421AC162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（3）近</w:t>
            </w:r>
            <w:r>
              <w:rPr>
                <w:rFonts w:ascii="等线" w:hAnsi="等线" w:eastAsia="方正楷体_GBK"/>
              </w:rPr>
              <w:t>3年总营收在</w:t>
            </w:r>
            <w:r>
              <w:rPr>
                <w:rFonts w:hint="eastAsia" w:ascii="等线" w:hAnsi="等线" w:eastAsia="方正楷体_GBK"/>
              </w:rPr>
              <w:t>2000万</w:t>
            </w:r>
            <w:r>
              <w:rPr>
                <w:rFonts w:ascii="等线" w:hAnsi="等线" w:eastAsia="方正楷体_GBK"/>
              </w:rPr>
              <w:t>元至</w:t>
            </w:r>
            <w:r>
              <w:rPr>
                <w:rFonts w:hint="eastAsia" w:ascii="等线" w:hAnsi="等线" w:eastAsia="方正楷体_GBK"/>
              </w:rPr>
              <w:t>1</w:t>
            </w:r>
            <w:r>
              <w:rPr>
                <w:rFonts w:ascii="等线" w:hAnsi="等线" w:eastAsia="方正楷体_GBK"/>
              </w:rPr>
              <w:t>亿元（含）之间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  <w:p w14:paraId="1779ABC3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3、纳税情况</w:t>
            </w:r>
          </w:p>
          <w:p w14:paraId="31BF258B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（1）近</w:t>
            </w:r>
            <w:r>
              <w:rPr>
                <w:rFonts w:ascii="等线" w:hAnsi="等线" w:eastAsia="方正楷体_GBK"/>
              </w:rPr>
              <w:t>3年本地纳税超过</w:t>
            </w:r>
            <w:r>
              <w:rPr>
                <w:rFonts w:hint="eastAsia" w:ascii="等线" w:hAnsi="等线" w:eastAsia="方正楷体_GBK"/>
              </w:rPr>
              <w:t>3000</w:t>
            </w:r>
            <w:r>
              <w:rPr>
                <w:rFonts w:ascii="等线" w:hAnsi="等线" w:eastAsia="方正楷体_GBK"/>
              </w:rPr>
              <w:t>万元</w:t>
            </w:r>
            <w:r>
              <w:rPr>
                <w:rFonts w:hint="eastAsia" w:ascii="等线" w:hAnsi="等线" w:eastAsia="方正楷体_GBK"/>
              </w:rPr>
              <w:t>及以上；</w:t>
            </w:r>
          </w:p>
          <w:p w14:paraId="0D1006D6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（2）近</w:t>
            </w:r>
            <w:r>
              <w:rPr>
                <w:rFonts w:ascii="等线" w:hAnsi="等线" w:eastAsia="方正楷体_GBK"/>
              </w:rPr>
              <w:t>3年本地纳税在</w:t>
            </w:r>
            <w:r>
              <w:rPr>
                <w:rFonts w:hint="eastAsia" w:ascii="等线" w:hAnsi="等线" w:eastAsia="方正楷体_GBK"/>
              </w:rPr>
              <w:t>1000</w:t>
            </w:r>
            <w:r>
              <w:rPr>
                <w:rFonts w:ascii="等线" w:hAnsi="等线" w:eastAsia="方正楷体_GBK"/>
              </w:rPr>
              <w:t>万元至3000万元（含）之间</w:t>
            </w:r>
            <w:r>
              <w:rPr>
                <w:rFonts w:hint="eastAsia" w:ascii="等线" w:hAnsi="等线" w:eastAsia="方正楷体_GBK"/>
              </w:rPr>
              <w:t>；</w:t>
            </w:r>
          </w:p>
          <w:p w14:paraId="3AE30234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（3）近</w:t>
            </w:r>
            <w:r>
              <w:rPr>
                <w:rFonts w:ascii="等线" w:hAnsi="等线" w:eastAsia="方正楷体_GBK"/>
              </w:rPr>
              <w:t>3年本地纳税在</w:t>
            </w:r>
            <w:r>
              <w:rPr>
                <w:rFonts w:hint="eastAsia" w:ascii="等线" w:hAnsi="等线" w:eastAsia="方正楷体_GBK"/>
              </w:rPr>
              <w:t>50</w:t>
            </w:r>
            <w:r>
              <w:rPr>
                <w:rFonts w:ascii="等线" w:hAnsi="等线" w:eastAsia="方正楷体_GBK"/>
              </w:rPr>
              <w:t>万元至</w:t>
            </w:r>
            <w:r>
              <w:rPr>
                <w:rFonts w:hint="eastAsia" w:ascii="等线" w:hAnsi="等线" w:eastAsia="方正楷体_GBK"/>
              </w:rPr>
              <w:t>1</w:t>
            </w:r>
            <w:r>
              <w:rPr>
                <w:rFonts w:ascii="等线" w:hAnsi="等线" w:eastAsia="方正楷体_GBK"/>
              </w:rPr>
              <w:t>000万元（含）之间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</w:p>
          <w:p w14:paraId="31D86327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4、研发投入</w:t>
            </w:r>
          </w:p>
          <w:p w14:paraId="556095F9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研发费用总额500万元以上或研发费用占营业收入总额比重在10%以上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7566643F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（2）近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研发费用总额300至500万元（含）或研发费用占营业收入总额比重在6%至10%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7420A936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研发费用总额100至300万元（含）或研发费用占营业收入总额比重在3%至6%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</w:p>
          <w:p w14:paraId="24088537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5、创新平台</w:t>
            </w:r>
          </w:p>
          <w:p w14:paraId="75EB478C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（1）拥有1个及以上</w:t>
            </w:r>
            <w:r>
              <w:rPr>
                <w:rFonts w:hint="eastAsia" w:ascii="等线" w:hAnsi="等线" w:eastAsia="方正楷体_GBK"/>
                <w:b/>
                <w:bCs/>
              </w:rPr>
              <w:t>国家级或等同于国家级</w:t>
            </w:r>
            <w:r>
              <w:rPr>
                <w:rFonts w:hint="eastAsia" w:ascii="等线" w:hAnsi="等线" w:eastAsia="方正楷体_GBK"/>
              </w:rPr>
              <w:t>企业技术中心、工程技术研究中心、工业设计中心、重点实验室等研发平台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5E24CB61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（2）拥有1个及以上</w:t>
            </w:r>
            <w:r>
              <w:rPr>
                <w:rFonts w:hint="eastAsia" w:ascii="等线" w:hAnsi="等线" w:eastAsia="方正楷体_GBK"/>
                <w:b/>
                <w:bCs/>
              </w:rPr>
              <w:t>省部级或等同于省部级</w:t>
            </w:r>
            <w:r>
              <w:rPr>
                <w:rFonts w:hint="eastAsia" w:ascii="等线" w:hAnsi="等线" w:eastAsia="方正楷体_GBK"/>
              </w:rPr>
              <w:t>企业技术中心、工程技术研究中心、工业设计中心、重点实验室等研发平台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449B3C74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（3）拥有1个及以上</w:t>
            </w:r>
            <w:r>
              <w:rPr>
                <w:rFonts w:hint="eastAsia" w:ascii="等线" w:hAnsi="等线" w:eastAsia="方正楷体_GBK"/>
                <w:b/>
                <w:bCs/>
              </w:rPr>
              <w:t>市级等同于市级</w:t>
            </w:r>
            <w:r>
              <w:rPr>
                <w:rFonts w:hint="eastAsia" w:ascii="等线" w:hAnsi="等线" w:eastAsia="方正楷体_GBK"/>
              </w:rPr>
              <w:t>企业技术中心、工程技术研究中心、工业设计中心、重点实验室等研发平台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  <w:p w14:paraId="126AFD6B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6、行业认证</w:t>
            </w:r>
          </w:p>
          <w:p w14:paraId="2D88AC18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（1）拥有国际铁路行业标准</w:t>
            </w:r>
            <w:r>
              <w:rPr>
                <w:rFonts w:ascii="等线" w:hAnsi="等线" w:eastAsia="方正楷体_GBK"/>
              </w:rPr>
              <w:t>IRIS</w:t>
            </w:r>
            <w:r>
              <w:rPr>
                <w:rFonts w:hint="eastAsia" w:ascii="等线" w:hAnsi="等线" w:eastAsia="方正楷体_GBK"/>
              </w:rPr>
              <w:t>（</w:t>
            </w:r>
            <w:r>
              <w:rPr>
                <w:rFonts w:ascii="等线" w:hAnsi="等线" w:eastAsia="方正楷体_GBK"/>
              </w:rPr>
              <w:t>ISO/TS 22163</w:t>
            </w:r>
            <w:r>
              <w:rPr>
                <w:rFonts w:hint="eastAsia" w:ascii="等线" w:hAnsi="等线" w:eastAsia="方正楷体_GBK"/>
              </w:rPr>
              <w:t>）认证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20DAD6FE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（2）GB/T 39117智能制造能力成熟度评价五级证书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1FAC7CFA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（3）GB/T 39117智能制造能力成熟度评价三、四级证书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DCBA726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（4）GB/T 39117智能制造能力成熟度评价一、二级证书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BCF6F41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（5）拥有EN15085焊接体系认证等行业标准</w:t>
            </w:r>
            <w:r>
              <w:rPr>
                <w:rFonts w:ascii="等线" w:hAnsi="等线" w:eastAsia="方正楷体_GBK"/>
              </w:rPr>
              <w:t>认证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1084C77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（6）拥有DIN6701粘接体系认证等行业标准认证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6A8ECF1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（7）拥有ISO9001质量体系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  <w:r>
              <w:rPr>
                <w:rFonts w:hint="eastAsia" w:ascii="等线" w:hAnsi="等线" w:eastAsia="方正楷体_GBK"/>
              </w:rPr>
              <w:t>ISO45001职业健康安全管理体系认证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  <w:r>
              <w:rPr>
                <w:rFonts w:hint="eastAsia" w:ascii="等线" w:hAnsi="等线" w:eastAsia="方正楷体_GBK"/>
              </w:rPr>
              <w:t>ISO14001环境管理体系认证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4047899A">
            <w:pPr>
              <w:pStyle w:val="2"/>
              <w:rPr>
                <w:rFonts w:hint="eastAsia" w:ascii="等线" w:hAnsi="等线" w:eastAsia="方正楷体_GBK"/>
                <w:b/>
                <w:bCs/>
                <w:sz w:val="21"/>
              </w:rPr>
            </w:pPr>
            <w:r>
              <w:rPr>
                <w:rFonts w:hint="eastAsia" w:ascii="等线" w:hAnsi="等线" w:eastAsia="方正楷体_GBK"/>
                <w:b/>
                <w:bCs/>
                <w:sz w:val="21"/>
              </w:rPr>
              <w:t>7、创新先进性</w:t>
            </w:r>
          </w:p>
          <w:p w14:paraId="74D50FEC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（1）获得</w:t>
            </w:r>
            <w:r>
              <w:rPr>
                <w:rFonts w:hint="eastAsia" w:ascii="等线" w:hAnsi="等线" w:eastAsia="方正楷体_GBK"/>
                <w:b/>
                <w:bCs/>
              </w:rPr>
              <w:t>国家级</w:t>
            </w:r>
            <w:r>
              <w:rPr>
                <w:rFonts w:hint="eastAsia" w:ascii="等线" w:hAnsi="等线" w:eastAsia="方正楷体_GBK"/>
              </w:rPr>
              <w:t>绿色制造示范企业、绿色工厂、智能制造试点示范、智能工厂、数字化车间、智能制造优秀场景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8593EE8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（2）获得</w:t>
            </w:r>
            <w:r>
              <w:rPr>
                <w:rFonts w:hint="eastAsia" w:ascii="等线" w:hAnsi="等线" w:eastAsia="方正楷体_GBK"/>
                <w:b/>
                <w:bCs/>
              </w:rPr>
              <w:t>省部级</w:t>
            </w:r>
            <w:r>
              <w:rPr>
                <w:rFonts w:hint="eastAsia" w:ascii="等线" w:hAnsi="等线" w:eastAsia="方正楷体_GBK"/>
              </w:rPr>
              <w:t>绿色制造示范企业、绿色工厂、智能制造试点示范、智能工厂、数字化车间、智能制造优秀场景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12CC6571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（3）获得</w:t>
            </w:r>
            <w:r>
              <w:rPr>
                <w:rFonts w:hint="eastAsia" w:ascii="等线" w:hAnsi="等线" w:eastAsia="方正楷体_GBK"/>
                <w:b/>
                <w:bCs/>
              </w:rPr>
              <w:t>市级</w:t>
            </w:r>
            <w:r>
              <w:rPr>
                <w:rFonts w:hint="eastAsia" w:ascii="等线" w:hAnsi="等线" w:eastAsia="方正楷体_GBK"/>
              </w:rPr>
              <w:t>绿色制造示范企业、绿色工厂、数字化车间、智能制造试点示范、智能工厂、智能制造优秀场景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</w:tc>
      </w:tr>
      <w:tr w14:paraId="366E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 w14:paraId="3ED580EA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产</w:t>
            </w:r>
          </w:p>
          <w:p w14:paraId="1FBF6C93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品</w:t>
            </w:r>
          </w:p>
          <w:p w14:paraId="0DB4F588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综</w:t>
            </w:r>
          </w:p>
          <w:p w14:paraId="723C29BC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合</w:t>
            </w:r>
          </w:p>
          <w:p w14:paraId="091A0E81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评</w:t>
            </w:r>
          </w:p>
          <w:p w14:paraId="47AB326B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价</w:t>
            </w:r>
          </w:p>
          <w:p w14:paraId="72B4012B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40</w:t>
            </w:r>
          </w:p>
          <w:p w14:paraId="0DBA1E9F">
            <w:pPr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分</w:t>
            </w:r>
          </w:p>
        </w:tc>
        <w:tc>
          <w:tcPr>
            <w:tcW w:w="1701" w:type="dxa"/>
            <w:vAlign w:val="center"/>
          </w:tcPr>
          <w:p w14:paraId="383574E2">
            <w:pPr>
              <w:spacing w:line="400" w:lineRule="exact"/>
              <w:jc w:val="center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产品重要度</w:t>
            </w:r>
          </w:p>
          <w:p w14:paraId="75D1C1A3">
            <w:pPr>
              <w:spacing w:line="400" w:lineRule="exact"/>
              <w:jc w:val="center"/>
              <w:rPr>
                <w:rFonts w:hint="eastAsia" w:ascii="等线" w:hAnsi="等线" w:eastAsia="等线"/>
              </w:rPr>
            </w:pPr>
            <w:r>
              <w:rPr>
                <w:rFonts w:hint="eastAsia" w:ascii="等线" w:hAnsi="等线" w:eastAsia="方正楷体_GBK"/>
              </w:rPr>
              <w:t>（最高</w:t>
            </w:r>
            <w:r>
              <w:rPr>
                <w:rFonts w:hint="eastAsia" w:ascii="等线" w:hAnsi="等线" w:eastAsia="方正楷体_GBK"/>
                <w:b/>
                <w:bCs/>
              </w:rPr>
              <w:t>10</w:t>
            </w:r>
            <w:r>
              <w:rPr>
                <w:rFonts w:hint="eastAsia" w:ascii="等线" w:hAnsi="等线" w:eastAsia="方正楷体_GBK"/>
              </w:rPr>
              <w:t>分）</w:t>
            </w:r>
          </w:p>
        </w:tc>
        <w:tc>
          <w:tcPr>
            <w:tcW w:w="6804" w:type="dxa"/>
            <w:vAlign w:val="center"/>
          </w:tcPr>
          <w:p w14:paraId="3C0253DF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1、重要程度</w:t>
            </w:r>
          </w:p>
          <w:p w14:paraId="40585C0B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（1）属于轨道交通车辆整车制造或检修类产品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18CFD728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（2）属于轨道交通车辆重要、关键零部件制造或检修类产品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787DE61B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（3）属于轨道交通车辆其它零部件制造或检修类产品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10F18C14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（4）属于轨道交通配套重要、关键设备类产品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4567B3EF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（5）属于轨道交通配套其它设备类产品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</w:tc>
      </w:tr>
      <w:tr w14:paraId="070A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62" w:type="dxa"/>
            <w:vMerge w:val="continue"/>
          </w:tcPr>
          <w:p w14:paraId="521AFBFA">
            <w:pPr>
              <w:rPr>
                <w:rFonts w:hint="eastAsia" w:ascii="等线" w:hAnsi="等线" w:eastAsia="等线"/>
              </w:rPr>
            </w:pPr>
          </w:p>
        </w:tc>
        <w:tc>
          <w:tcPr>
            <w:tcW w:w="1701" w:type="dxa"/>
            <w:vAlign w:val="center"/>
          </w:tcPr>
          <w:p w14:paraId="70418D4B">
            <w:pPr>
              <w:spacing w:line="400" w:lineRule="exact"/>
              <w:jc w:val="center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产品先进性</w:t>
            </w:r>
          </w:p>
          <w:p w14:paraId="1DD67088">
            <w:pPr>
              <w:spacing w:line="400" w:lineRule="exact"/>
              <w:jc w:val="center"/>
              <w:rPr>
                <w:rFonts w:hint="eastAsia" w:ascii="等线" w:hAnsi="等线" w:eastAsia="等线"/>
              </w:rPr>
            </w:pPr>
            <w:r>
              <w:rPr>
                <w:rFonts w:hint="eastAsia" w:ascii="等线" w:hAnsi="等线" w:eastAsia="方正楷体_GBK"/>
              </w:rPr>
              <w:t>（最高</w:t>
            </w:r>
            <w:r>
              <w:rPr>
                <w:rFonts w:hint="eastAsia" w:ascii="等线" w:hAnsi="等线" w:eastAsia="方正楷体_GBK"/>
                <w:b/>
                <w:bCs/>
              </w:rPr>
              <w:t>20</w:t>
            </w:r>
            <w:r>
              <w:rPr>
                <w:rFonts w:hint="eastAsia" w:ascii="等线" w:hAnsi="等线" w:eastAsia="方正楷体_GBK"/>
              </w:rPr>
              <w:t>分）</w:t>
            </w:r>
          </w:p>
        </w:tc>
        <w:tc>
          <w:tcPr>
            <w:tcW w:w="6804" w:type="dxa"/>
            <w:vAlign w:val="center"/>
          </w:tcPr>
          <w:p w14:paraId="0884B9D7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1、产品知识产权数量</w:t>
            </w:r>
          </w:p>
          <w:p w14:paraId="66DA15B7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（1）拥有发明专利数量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577FF88D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（2）拥有实用新型专利数量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636F28B7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（3）拥有软件著作权数量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  <w:p w14:paraId="536D9BCF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2、产品先进性奖项</w:t>
            </w:r>
          </w:p>
          <w:p w14:paraId="31EF87D2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（1）国家级技术发明、科学技术进步奖、重大技术装备首台（套）</w:t>
            </w:r>
            <w:r>
              <w:rPr>
                <w:rFonts w:hint="eastAsia" w:ascii="等线" w:hAnsi="等线" w:eastAsia="方正楷体_GBK"/>
                <w:lang w:eastAsia="zh-CN"/>
              </w:rPr>
              <w:t>；</w:t>
            </w:r>
          </w:p>
          <w:p w14:paraId="653908AE">
            <w:pPr>
              <w:spacing w:line="400" w:lineRule="exact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（2）其它国家级奖项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；</w:t>
            </w:r>
          </w:p>
          <w:p w14:paraId="65A6A998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（3）四川省科学技术奖、重大技术装备首台（套）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  <w:r>
              <w:rPr>
                <w:rFonts w:hint="eastAsia" w:ascii="等线" w:hAnsi="等线" w:eastAsia="方正楷体_GBK"/>
              </w:rPr>
              <w:t xml:space="preserve"> </w:t>
            </w:r>
          </w:p>
          <w:p w14:paraId="0A11CA3D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（4）其它省部级奖项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  <w:p w14:paraId="3D84C2A6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3、产品标准制定</w:t>
            </w:r>
          </w:p>
          <w:p w14:paraId="292C3B57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</w:t>
            </w:r>
            <w:r>
              <w:rPr>
                <w:rFonts w:ascii="等线" w:hAnsi="等线" w:eastAsia="方正楷体_GBK"/>
              </w:rPr>
              <w:t>）</w:t>
            </w:r>
            <w:r>
              <w:rPr>
                <w:rFonts w:hint="eastAsia" w:ascii="等线" w:hAnsi="等线" w:eastAsia="方正楷体_GBK"/>
              </w:rPr>
              <w:t>以申报产品形成</w:t>
            </w:r>
            <w:r>
              <w:rPr>
                <w:rFonts w:hint="eastAsia" w:ascii="等线" w:hAnsi="等线" w:eastAsia="方正楷体_GBK"/>
                <w:b/>
                <w:bCs/>
              </w:rPr>
              <w:t>国家标准；</w:t>
            </w:r>
          </w:p>
          <w:p w14:paraId="20ED34B3">
            <w:pPr>
              <w:spacing w:line="400" w:lineRule="exact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（2）以申报产品形成</w:t>
            </w:r>
            <w:r>
              <w:rPr>
                <w:rFonts w:hint="eastAsia" w:ascii="等线" w:hAnsi="等线" w:eastAsia="方正楷体_GBK"/>
                <w:b/>
                <w:bCs/>
              </w:rPr>
              <w:t>行业标准、行业规则、行业方案、团体标准；</w:t>
            </w:r>
          </w:p>
          <w:p w14:paraId="01F3A437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（3）以申报产品形成</w:t>
            </w:r>
            <w:r>
              <w:rPr>
                <w:rFonts w:hint="eastAsia" w:ascii="等线" w:hAnsi="等线" w:eastAsia="方正楷体_GBK"/>
                <w:b/>
                <w:bCs/>
              </w:rPr>
              <w:t>地方标准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  <w:p w14:paraId="21BC2C81">
            <w:pPr>
              <w:spacing w:line="400" w:lineRule="exact"/>
              <w:rPr>
                <w:rFonts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4、产品体系认证</w:t>
            </w:r>
          </w:p>
          <w:p w14:paraId="21B1FC40">
            <w:pPr>
              <w:pStyle w:val="2"/>
              <w:rPr>
                <w:rFonts w:hint="eastAsia" w:ascii="等线" w:hAnsi="等线" w:eastAsia="方正楷体_GBK"/>
                <w:sz w:val="21"/>
                <w:lang w:eastAsia="zh-CN"/>
              </w:rPr>
            </w:pPr>
            <w:r>
              <w:rPr>
                <w:rFonts w:hint="eastAsia" w:ascii="等线" w:hAnsi="等线" w:eastAsia="方正楷体_GBK"/>
                <w:sz w:val="21"/>
              </w:rPr>
              <w:t>（1）IRIS(国际铁路行业标准)</w:t>
            </w:r>
            <w:r>
              <w:rPr>
                <w:rFonts w:hint="eastAsia" w:ascii="等线" w:hAnsi="等线" w:eastAsia="方正楷体_GBK"/>
                <w:sz w:val="21"/>
                <w:lang w:eastAsia="zh-CN"/>
              </w:rPr>
              <w:t>；</w:t>
            </w:r>
          </w:p>
          <w:p w14:paraId="71B84EC1">
            <w:pPr>
              <w:pStyle w:val="2"/>
              <w:rPr>
                <w:rFonts w:hint="eastAsia" w:ascii="等线" w:hAnsi="等线" w:eastAsia="方正楷体_GBK"/>
                <w:sz w:val="21"/>
                <w:lang w:eastAsia="zh-CN"/>
              </w:rPr>
            </w:pPr>
            <w:r>
              <w:rPr>
                <w:rFonts w:hint="eastAsia" w:ascii="等线" w:hAnsi="等线" w:eastAsia="方正楷体_GBK"/>
                <w:sz w:val="21"/>
              </w:rPr>
              <w:t>（2）SIL（安全完整性等级）</w:t>
            </w:r>
            <w:r>
              <w:rPr>
                <w:rFonts w:hint="eastAsia" w:ascii="等线" w:hAnsi="等线" w:eastAsia="方正楷体_GBK"/>
                <w:sz w:val="21"/>
                <w:lang w:eastAsia="zh-CN"/>
              </w:rPr>
              <w:t>；</w:t>
            </w:r>
          </w:p>
          <w:p w14:paraId="318644CC">
            <w:pPr>
              <w:pStyle w:val="2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  <w:sz w:val="21"/>
              </w:rPr>
              <w:t>（3）CURC、CRCC等体系认证</w:t>
            </w:r>
            <w:r>
              <w:rPr>
                <w:rFonts w:hint="eastAsia" w:ascii="等线" w:hAnsi="等线" w:eastAsia="方正楷体_GBK"/>
                <w:sz w:val="21"/>
                <w:lang w:eastAsia="zh-CN"/>
              </w:rPr>
              <w:t>。</w:t>
            </w:r>
          </w:p>
        </w:tc>
      </w:tr>
      <w:tr w14:paraId="18F27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4" w:hRule="atLeast"/>
        </w:trPr>
        <w:tc>
          <w:tcPr>
            <w:tcW w:w="562" w:type="dxa"/>
            <w:vMerge w:val="continue"/>
            <w:vAlign w:val="center"/>
          </w:tcPr>
          <w:p w14:paraId="287E95B6">
            <w:pPr>
              <w:jc w:val="center"/>
              <w:rPr>
                <w:rFonts w:hint="eastAsia" w:ascii="等线" w:hAnsi="等线" w:eastAsia="等线"/>
              </w:rPr>
            </w:pPr>
          </w:p>
        </w:tc>
        <w:tc>
          <w:tcPr>
            <w:tcW w:w="1701" w:type="dxa"/>
            <w:vAlign w:val="center"/>
          </w:tcPr>
          <w:p w14:paraId="1B423CEA">
            <w:pPr>
              <w:spacing w:line="400" w:lineRule="exact"/>
              <w:jc w:val="center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行业影响力</w:t>
            </w:r>
          </w:p>
          <w:p w14:paraId="57278FA9">
            <w:pPr>
              <w:spacing w:line="400" w:lineRule="exact"/>
              <w:jc w:val="center"/>
              <w:rPr>
                <w:rFonts w:hint="eastAsia" w:ascii="等线" w:hAnsi="等线" w:eastAsia="等线"/>
              </w:rPr>
            </w:pPr>
            <w:r>
              <w:rPr>
                <w:rFonts w:hint="eastAsia" w:ascii="等线" w:hAnsi="等线" w:eastAsia="方正楷体_GBK"/>
              </w:rPr>
              <w:t>（最高</w:t>
            </w:r>
            <w:r>
              <w:rPr>
                <w:rFonts w:hint="eastAsia" w:ascii="等线" w:hAnsi="等线" w:eastAsia="方正楷体_GBK"/>
                <w:b/>
                <w:bCs/>
              </w:rPr>
              <w:t>10</w:t>
            </w:r>
            <w:r>
              <w:rPr>
                <w:rFonts w:hint="eastAsia" w:ascii="等线" w:hAnsi="等线" w:eastAsia="方正楷体_GBK"/>
              </w:rPr>
              <w:t>分）</w:t>
            </w:r>
          </w:p>
        </w:tc>
        <w:tc>
          <w:tcPr>
            <w:tcW w:w="6804" w:type="dxa"/>
            <w:vAlign w:val="center"/>
          </w:tcPr>
          <w:p w14:paraId="54C97DCE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1、产品业绩</w:t>
            </w:r>
          </w:p>
          <w:p w14:paraId="50EC21AD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（1）产品近</w:t>
            </w:r>
            <w:r>
              <w:rPr>
                <w:rFonts w:ascii="等线" w:hAnsi="等线" w:eastAsia="方正楷体_GBK"/>
              </w:rPr>
              <w:t>3年总</w:t>
            </w:r>
            <w:r>
              <w:rPr>
                <w:rFonts w:hint="eastAsia" w:ascii="等线" w:hAnsi="等线" w:eastAsia="方正楷体_GBK"/>
              </w:rPr>
              <w:t>销售收入</w:t>
            </w:r>
            <w:r>
              <w:rPr>
                <w:rFonts w:ascii="等线" w:hAnsi="等线" w:eastAsia="方正楷体_GBK"/>
              </w:rPr>
              <w:t>在</w:t>
            </w:r>
            <w:r>
              <w:rPr>
                <w:rFonts w:hint="eastAsia" w:ascii="等线" w:hAnsi="等线" w:eastAsia="方正楷体_GBK"/>
              </w:rPr>
              <w:t>3</w:t>
            </w:r>
            <w:r>
              <w:rPr>
                <w:rFonts w:ascii="等线" w:hAnsi="等线" w:eastAsia="方正楷体_GBK"/>
              </w:rPr>
              <w:t>亿元</w:t>
            </w:r>
            <w:r>
              <w:rPr>
                <w:rFonts w:hint="eastAsia" w:ascii="等线" w:hAnsi="等线" w:eastAsia="方正楷体_GBK"/>
              </w:rPr>
              <w:t>以上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0DD4BB86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（2）产品近</w:t>
            </w:r>
            <w:r>
              <w:rPr>
                <w:rFonts w:ascii="等线" w:hAnsi="等线" w:eastAsia="方正楷体_GBK"/>
              </w:rPr>
              <w:t>3年总</w:t>
            </w:r>
            <w:r>
              <w:rPr>
                <w:rFonts w:hint="eastAsia" w:ascii="等线" w:hAnsi="等线" w:eastAsia="方正楷体_GBK"/>
              </w:rPr>
              <w:t>销售收入</w:t>
            </w:r>
            <w:r>
              <w:rPr>
                <w:rFonts w:ascii="等线" w:hAnsi="等线" w:eastAsia="方正楷体_GBK"/>
              </w:rPr>
              <w:t>在</w:t>
            </w:r>
            <w:r>
              <w:rPr>
                <w:rFonts w:hint="eastAsia" w:ascii="等线" w:hAnsi="等线" w:eastAsia="方正楷体_GBK"/>
              </w:rPr>
              <w:t>1</w:t>
            </w:r>
            <w:r>
              <w:rPr>
                <w:rFonts w:ascii="等线" w:hAnsi="等线" w:eastAsia="方正楷体_GBK"/>
              </w:rPr>
              <w:t>亿元至</w:t>
            </w:r>
            <w:r>
              <w:rPr>
                <w:rFonts w:hint="eastAsia" w:ascii="等线" w:hAnsi="等线" w:eastAsia="方正楷体_GBK"/>
              </w:rPr>
              <w:t>3</w:t>
            </w:r>
            <w:r>
              <w:rPr>
                <w:rFonts w:ascii="等线" w:hAnsi="等线" w:eastAsia="方正楷体_GBK"/>
              </w:rPr>
              <w:t>亿元（含）之间</w:t>
            </w:r>
            <w:r>
              <w:rPr>
                <w:rFonts w:hint="eastAsia" w:ascii="等线" w:hAnsi="等线" w:eastAsia="方正楷体_GBK"/>
                <w:b/>
                <w:bCs/>
              </w:rPr>
              <w:t>；</w:t>
            </w:r>
          </w:p>
          <w:p w14:paraId="352AB6B5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（3）产品近</w:t>
            </w:r>
            <w:r>
              <w:rPr>
                <w:rFonts w:ascii="等线" w:hAnsi="等线" w:eastAsia="方正楷体_GBK"/>
              </w:rPr>
              <w:t>3年总</w:t>
            </w:r>
            <w:r>
              <w:rPr>
                <w:rFonts w:hint="eastAsia" w:ascii="等线" w:hAnsi="等线" w:eastAsia="方正楷体_GBK"/>
              </w:rPr>
              <w:t>销售收入</w:t>
            </w:r>
            <w:r>
              <w:rPr>
                <w:rFonts w:ascii="等线" w:hAnsi="等线" w:eastAsia="方正楷体_GBK"/>
              </w:rPr>
              <w:t>在</w:t>
            </w:r>
            <w:r>
              <w:rPr>
                <w:rFonts w:hint="eastAsia" w:ascii="等线" w:hAnsi="等线" w:eastAsia="方正楷体_GBK"/>
              </w:rPr>
              <w:t>2000万</w:t>
            </w:r>
            <w:r>
              <w:rPr>
                <w:rFonts w:ascii="等线" w:hAnsi="等线" w:eastAsia="方正楷体_GBK"/>
              </w:rPr>
              <w:t>元至</w:t>
            </w:r>
            <w:r>
              <w:rPr>
                <w:rFonts w:hint="eastAsia" w:ascii="等线" w:hAnsi="等线" w:eastAsia="方正楷体_GBK"/>
              </w:rPr>
              <w:t>1亿</w:t>
            </w:r>
            <w:r>
              <w:rPr>
                <w:rFonts w:ascii="等线" w:hAnsi="等线" w:eastAsia="方正楷体_GBK"/>
              </w:rPr>
              <w:t>元（含）之间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  <w:bookmarkStart w:id="1" w:name="_GoBack"/>
            <w:bookmarkEnd w:id="1"/>
          </w:p>
          <w:p w14:paraId="42B00BFB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2、用户评价</w:t>
            </w:r>
          </w:p>
          <w:p w14:paraId="76C867EF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（1）产品近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获终端用户或第三方权威机构好评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</w:p>
          <w:p w14:paraId="01482E2B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  <w:b/>
                <w:bCs/>
              </w:rPr>
              <w:t>3、媒体宣传</w:t>
            </w:r>
          </w:p>
          <w:p w14:paraId="491FE24A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（1）近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中央电视台等央视媒体报道企业先进事迹或项目产品；</w:t>
            </w:r>
          </w:p>
          <w:p w14:paraId="67391356">
            <w:pPr>
              <w:spacing w:line="400" w:lineRule="exact"/>
              <w:rPr>
                <w:rFonts w:hint="eastAsia" w:ascii="等线" w:hAnsi="等线" w:eastAsia="方正楷体_GBK"/>
                <w:b/>
                <w:bCs/>
              </w:rPr>
            </w:pPr>
            <w:r>
              <w:rPr>
                <w:rFonts w:hint="eastAsia" w:ascii="等线" w:hAnsi="等线" w:eastAsia="方正楷体_GBK"/>
              </w:rPr>
              <w:t>（2）近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省部级媒体、行业商协会等报道企业先进事迹或项目产品；</w:t>
            </w:r>
          </w:p>
          <w:p w14:paraId="2416C78F">
            <w:pPr>
              <w:spacing w:line="400" w:lineRule="exact"/>
              <w:rPr>
                <w:rFonts w:hint="eastAsia" w:ascii="等线" w:hAnsi="等线" w:eastAsia="方正楷体_GBK"/>
                <w:b/>
                <w:bCs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（3）近</w:t>
            </w:r>
            <w:r>
              <w:rPr>
                <w:rFonts w:ascii="等线" w:hAnsi="等线" w:eastAsia="方正楷体_GBK"/>
              </w:rPr>
              <w:t>3年</w:t>
            </w:r>
            <w:r>
              <w:rPr>
                <w:rFonts w:hint="eastAsia" w:ascii="等线" w:hAnsi="等线" w:eastAsia="方正楷体_GBK"/>
              </w:rPr>
              <w:t>市级媒体、行业商协会等报道企业先进事迹或项目产品</w:t>
            </w:r>
            <w:r>
              <w:rPr>
                <w:rFonts w:hint="eastAsia" w:ascii="等线" w:hAnsi="等线" w:eastAsia="方正楷体_GBK"/>
                <w:b/>
                <w:bCs/>
                <w:lang w:eastAsia="zh-CN"/>
              </w:rPr>
              <w:t>。</w:t>
            </w:r>
          </w:p>
        </w:tc>
      </w:tr>
      <w:tr w14:paraId="642E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62" w:type="dxa"/>
            <w:vAlign w:val="center"/>
          </w:tcPr>
          <w:p w14:paraId="2841B73E">
            <w:pPr>
              <w:spacing w:line="340" w:lineRule="exact"/>
              <w:jc w:val="center"/>
              <w:rPr>
                <w:rFonts w:hint="eastAsia" w:ascii="等线" w:hAnsi="等线" w:eastAsia="黑体"/>
              </w:rPr>
            </w:pPr>
            <w:r>
              <w:rPr>
                <w:rFonts w:hint="eastAsia" w:ascii="等线" w:hAnsi="等线" w:eastAsia="黑体"/>
              </w:rPr>
              <w:t>产品综合评估40分</w:t>
            </w:r>
          </w:p>
        </w:tc>
        <w:tc>
          <w:tcPr>
            <w:tcW w:w="8505" w:type="dxa"/>
            <w:gridSpan w:val="2"/>
            <w:vAlign w:val="center"/>
          </w:tcPr>
          <w:p w14:paraId="6375F16B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1、此项</w:t>
            </w:r>
            <w:r>
              <w:rPr>
                <w:rFonts w:hint="eastAsia" w:ascii="等线" w:hAnsi="等线" w:eastAsia="方正楷体_GBK"/>
                <w:b/>
                <w:bCs/>
              </w:rPr>
              <w:t>技术层面</w:t>
            </w:r>
            <w:r>
              <w:rPr>
                <w:rFonts w:hint="eastAsia" w:ascii="等线" w:hAnsi="等线" w:eastAsia="方正楷体_GBK"/>
              </w:rPr>
              <w:t>由</w:t>
            </w:r>
            <w:r>
              <w:rPr>
                <w:rFonts w:hint="eastAsia" w:ascii="等线" w:hAnsi="等线" w:eastAsia="方正楷体_GBK"/>
                <w:b/>
                <w:bCs/>
              </w:rPr>
              <w:t>专家委员会，</w:t>
            </w:r>
            <w:r>
              <w:rPr>
                <w:rFonts w:hint="eastAsia" w:ascii="等线" w:hAnsi="等线" w:eastAsia="方正楷体_GBK"/>
              </w:rPr>
              <w:t>根据企业提供的材料进行综合评估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  <w:r>
              <w:rPr>
                <w:rFonts w:hint="eastAsia" w:ascii="等线" w:hAnsi="等线" w:eastAsia="方正楷体_GBK"/>
              </w:rPr>
              <w:t>内容包括但不限于：</w:t>
            </w:r>
          </w:p>
          <w:p w14:paraId="5488FE4F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（1）先进程度（产品突出功能或性能指标的先进程度等）；</w:t>
            </w:r>
          </w:p>
          <w:p w14:paraId="0D372614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（2）成熟度（技术落地情况、稳定性和应用效果等）；</w:t>
            </w:r>
          </w:p>
          <w:p w14:paraId="253FFBEC">
            <w:pPr>
              <w:spacing w:line="300" w:lineRule="exact"/>
              <w:ind w:firstLine="420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（3）发展潜力（产品在“卡脖子”、“补短板”、“锻长板”、“填空白”等方面取得成效）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</w:p>
          <w:p w14:paraId="4820E89B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</w:p>
          <w:p w14:paraId="411DB075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2、此项</w:t>
            </w:r>
            <w:r>
              <w:rPr>
                <w:rFonts w:hint="eastAsia" w:ascii="等线" w:hAnsi="等线" w:eastAsia="方正楷体_GBK"/>
                <w:b/>
                <w:bCs/>
              </w:rPr>
              <w:t>行业层面</w:t>
            </w:r>
            <w:r>
              <w:rPr>
                <w:rFonts w:hint="eastAsia" w:ascii="等线" w:hAnsi="等线" w:eastAsia="方正楷体_GBK"/>
              </w:rPr>
              <w:t>由行业主管部门</w:t>
            </w:r>
            <w:r>
              <w:rPr>
                <w:rFonts w:hint="eastAsia" w:ascii="等线" w:hAnsi="等线" w:eastAsia="方正楷体_GBK"/>
                <w:b/>
                <w:bCs/>
              </w:rPr>
              <w:t>轨道交通建设及使用单位</w:t>
            </w:r>
            <w:r>
              <w:rPr>
                <w:rFonts w:hint="eastAsia" w:ascii="等线" w:hAnsi="等线" w:eastAsia="方正楷体_GBK"/>
              </w:rPr>
              <w:t>，根据企业提供的材料进行综合评估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  <w:r>
              <w:rPr>
                <w:rFonts w:hint="eastAsia" w:ascii="等线" w:hAnsi="等线" w:eastAsia="方正楷体_GBK"/>
              </w:rPr>
              <w:t>内容包括但不限于：</w:t>
            </w:r>
          </w:p>
          <w:p w14:paraId="476C71F9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（1）产销布局（国内/本地市场占有率、海外市场业绩等）；</w:t>
            </w:r>
          </w:p>
          <w:p w14:paraId="16CDEFD0">
            <w:pPr>
              <w:spacing w:line="300" w:lineRule="exact"/>
              <w:ind w:firstLine="420"/>
              <w:rPr>
                <w:rFonts w:hint="eastAsia" w:ascii="等线" w:hAnsi="等线" w:eastAsia="方正楷体_GBK"/>
              </w:rPr>
            </w:pPr>
            <w:r>
              <w:rPr>
                <w:rFonts w:hint="eastAsia" w:ascii="等线" w:hAnsi="等线" w:eastAsia="方正楷体_GBK"/>
              </w:rPr>
              <w:t>（2）服务水平（技术服务、售后服务、业务配合等）；</w:t>
            </w:r>
          </w:p>
          <w:p w14:paraId="7C1F9F49">
            <w:pPr>
              <w:spacing w:line="300" w:lineRule="exact"/>
              <w:ind w:firstLine="420"/>
              <w:rPr>
                <w:rFonts w:hint="eastAsia" w:ascii="等线" w:hAnsi="等线" w:eastAsia="方正楷体_GBK"/>
                <w:lang w:eastAsia="zh-CN"/>
              </w:rPr>
            </w:pPr>
            <w:r>
              <w:rPr>
                <w:rFonts w:hint="eastAsia" w:ascii="等线" w:hAnsi="等线" w:eastAsia="方正楷体_GBK"/>
              </w:rPr>
              <w:t>（3）产业需求（申报产品是否符合成都市轨道交通产业发展需求）</w:t>
            </w:r>
            <w:r>
              <w:rPr>
                <w:rFonts w:hint="eastAsia" w:ascii="等线" w:hAnsi="等线" w:eastAsia="方正楷体_GBK"/>
                <w:lang w:eastAsia="zh-CN"/>
              </w:rPr>
              <w:t>。</w:t>
            </w:r>
          </w:p>
        </w:tc>
      </w:tr>
      <w:bookmarkEnd w:id="0"/>
    </w:tbl>
    <w:p w14:paraId="7ECA52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ZDFkZGNiNzRlY2NkOWQ1MDc1MzUxMjNlZjUxOWEifQ=="/>
  </w:docVars>
  <w:rsids>
    <w:rsidRoot w:val="59245395"/>
    <w:rsid w:val="000267E1"/>
    <w:rsid w:val="002D08AA"/>
    <w:rsid w:val="003E529B"/>
    <w:rsid w:val="00565B28"/>
    <w:rsid w:val="00D64C98"/>
    <w:rsid w:val="059B0D78"/>
    <w:rsid w:val="1E755B54"/>
    <w:rsid w:val="239630ED"/>
    <w:rsid w:val="40AA1F39"/>
    <w:rsid w:val="43135D99"/>
    <w:rsid w:val="59245395"/>
    <w:rsid w:val="65B1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宋体"/>
      <w:sz w:val="18"/>
    </w:rPr>
  </w:style>
  <w:style w:type="paragraph" w:styleId="4">
    <w:name w:val="caption"/>
    <w:basedOn w:val="1"/>
    <w:next w:val="1"/>
    <w:unhideWhenUsed/>
    <w:qFormat/>
    <w:uiPriority w:val="35"/>
    <w:pPr>
      <w:spacing w:line="560" w:lineRule="exact"/>
      <w:ind w:firstLine="440" w:firstLineChars="200"/>
      <w:jc w:val="center"/>
    </w:pPr>
    <w:rPr>
      <w:rFonts w:ascii="Arial" w:hAnsi="Arial" w:eastAsia="黑体"/>
      <w:sz w:val="22"/>
      <w:szCs w:val="28"/>
      <w14:ligatures w14:val="standardContextual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Title"/>
    <w:basedOn w:val="1"/>
    <w:next w:val="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customStyle="1" w:styleId="11">
    <w:name w:val="网格型1"/>
    <w:basedOn w:val="7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4682</Words>
  <Characters>4842</Characters>
  <Lines>37</Lines>
  <Paragraphs>10</Paragraphs>
  <TotalTime>3</TotalTime>
  <ScaleCrop>false</ScaleCrop>
  <LinksUpToDate>false</LinksUpToDate>
  <CharactersWithSpaces>4913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2024-09-03T07:23:00Z</dcterms:created>
  <dc:creator>dell</dc:creator>
  <cp:lastModifiedBy>dell</cp:lastModifiedBy>
  <cp:lastPrinted>2024-09-05T02:17:00Z</cp:lastPrinted>
  <dcterms:modified xsi:type="dcterms:W3CDTF">2024-09-05T07:02:47Z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917E6BEB8CA74785861C2F0F88744C08_11</vt:lpwstr>
  </property>
</Properties>
</file>