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75B22">
      <w:pPr>
        <w:adjustRightInd w:val="0"/>
        <w:snapToGrid w:val="0"/>
        <w:spacing w:line="580" w:lineRule="exact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3</w:t>
      </w:r>
    </w:p>
    <w:p w14:paraId="0A5B45CE">
      <w:pPr>
        <w:adjustRightInd w:val="0"/>
        <w:snapToGrid w:val="0"/>
        <w:spacing w:line="578" w:lineRule="exact"/>
        <w:rPr>
          <w:rFonts w:eastAsia="黑体"/>
          <w:color w:val="000000"/>
          <w:sz w:val="32"/>
          <w:szCs w:val="32"/>
        </w:rPr>
      </w:pPr>
    </w:p>
    <w:p w14:paraId="33828D6F">
      <w:pPr>
        <w:adjustRightInd w:val="0"/>
        <w:snapToGrid w:val="0"/>
        <w:spacing w:line="578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填  表  说  明</w:t>
      </w:r>
    </w:p>
    <w:p w14:paraId="3F4C7598">
      <w:pPr>
        <w:adjustRightInd w:val="0"/>
        <w:snapToGrid w:val="0"/>
        <w:spacing w:line="578" w:lineRule="exact"/>
        <w:jc w:val="center"/>
        <w:rPr>
          <w:rFonts w:eastAsia="黑体"/>
          <w:bCs/>
          <w:color w:val="000000"/>
          <w:sz w:val="32"/>
          <w:szCs w:val="32"/>
        </w:rPr>
      </w:pPr>
    </w:p>
    <w:p w14:paraId="74FA975D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一、封面</w:t>
      </w:r>
    </w:p>
    <w:p w14:paraId="56A8D5C2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1.设岗引才单位：填写单位全称（以单位公章全称为准），如，XX大学、XX农业科学院。</w:t>
      </w:r>
    </w:p>
    <w:p w14:paraId="1ECD0808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2.现单位及职务：指拟聘专家目前的全职工作单位及担任的职务。</w:t>
      </w:r>
    </w:p>
    <w:p w14:paraId="30DE15AB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3.推荐单位：指市（州）人力资源社会保障局、省级主管部门、中央在川单位主（代）管部门。</w:t>
      </w:r>
    </w:p>
    <w:p w14:paraId="6BBA5938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二、拟设岗单位基本情况</w:t>
      </w:r>
    </w:p>
    <w:p w14:paraId="167DBC59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1.是否处于全省人才发展雁阵格局“1+3”所在市：指拟设岗单位是否处于成都、绵阳、宜宾、泸州、南充、达州区域内。若“是”，需填写到具体隶属的市。</w:t>
      </w:r>
    </w:p>
    <w:p w14:paraId="7A149B22">
      <w:pPr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2.是否为县（市、区）人才工作先行区区域内单位：指拟设岗单位是否处于我省人才工作先行区区域内。若“是”，需填写隶属的县（市、区）名称。先行区名单：成都市青羊区、成都市新都区、成都市温江区、自贡市富顺县、攀枝花市米易县、泸州市泸县、泸州市龙马潭区、德阳市旌阳区、德阳市广汉市、绵阳市涪城区、绵阳市游仙区、广元市苍溪县、遂宁市射洪市、内江市东兴区、乐山市峨眉山市、乐山市犍为县、南充市嘉陵区、南充市高坪区、宜宾市翠屏区、宜宾市屏山县、广安市邻水县、达州市宣汉县、达州市大竹县、巴中市南江县、雅安市雨城区、眉山市青神县、资阳市安岳县、阿坝州汶川县、甘孜州康定市、凉山州西昌市。成都市都江堰市、成都市彭州市、成都市邛崃市、成都市崇州市、成都市金堂县、自贡市贡井区、自贡市沿滩区、攀枝花市盐边县、攀枝花市仁和区、泸州市江阳区、泸州市纳溪区、泸州市古蔺县、德阳市什邡市、德阳市绵竹市、绵阳市安州区、绵阳市三台县、绵阳市江油市、广元市利州区、广元市昭化区、遂宁市船山区、遂宁市安居区、内江市资中县、内江市威远县、乐山市市中区、乐山市沙湾区、南充市顺庆区、南充市阆中市、南充市营山县、宜宾市兴文县、宜宾市叙州区、宜宾市南溪区、广安市岳池县、广安市武胜县、达州市通川区、达州市达川区、达州市渠县、巴中市巴州区、巴中市恩阳区、雅安市名山区、雅安市荥经县、眉山市东坡区、眉山市丹棱县、资阳市雁江区、资阳市乐至县、阿坝州小金县、阿坝州九寨沟县、甘孜州甘孜县、甘孜州理塘县、凉山州宁南县、凉山州盐源县。</w:t>
      </w:r>
    </w:p>
    <w:p w14:paraId="3B3843CD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3.单位类型：根据单位性质选择一个类型。</w:t>
      </w:r>
    </w:p>
    <w:p w14:paraId="4CCD274A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4.座机：按区号－机号形式填写，如028－XXXXXXXX。</w:t>
      </w:r>
    </w:p>
    <w:p w14:paraId="4AC7D05A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三、拟设岗单位科研创新能力情况</w:t>
      </w:r>
    </w:p>
    <w:p w14:paraId="5CDE4CC9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例举符合设岗单位申报推荐条件（三）（四）条的内容并做具体说明：指拟设岗单位根据《四川省“天府学者”特聘专家制度实施办法（试行）》（川人社发〔2020〕9号）第二章第七条的（三）（四）所要求的条件，自我评估符合哪些设岗条件，并进行具体说明。</w:t>
      </w:r>
    </w:p>
    <w:p w14:paraId="2BCD6EB0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四、</w:t>
      </w:r>
      <w:r>
        <w:rPr>
          <w:rFonts w:eastAsia="黑体"/>
          <w:color w:val="000000"/>
          <w:sz w:val="32"/>
          <w:szCs w:val="32"/>
        </w:rPr>
        <w:t>设岗引才规划及工作任务、预期目标、约定条件</w:t>
      </w:r>
    </w:p>
    <w:p w14:paraId="406023BA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1.合作项目专业领域：根据附件《学科、专业目录》，填写所涉及专业领域的二级学科、专业名称。若涉及学科、专业无二级学科、专业的，填写至一级学科。</w:t>
      </w:r>
    </w:p>
    <w:p w14:paraId="6BDEA060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2.合作项目产业领域：本栏目根据设岗单位和拟聘专家合作项目实际填写。若合作项目不属于特色优势产业的，请在“战略性新兴产业或其他”栏后填写具体涉及产业的名称；若合作项目不涉及产业的，该栏目不填写。</w:t>
      </w:r>
    </w:p>
    <w:p w14:paraId="304DFEA9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3.</w:t>
      </w:r>
      <w:r>
        <w:rPr>
          <w:rFonts w:eastAsia="仿宋_GB2312"/>
          <w:bCs/>
          <w:color w:val="000000"/>
          <w:sz w:val="32"/>
          <w:szCs w:val="32"/>
        </w:rPr>
        <w:t>本栏内主要填写拟聘专家与设岗单位之间约定的聘期内的工作时间、工作任务、预期目标等，应尽量予以量化，体现指标数据等，约定的内容作为能否选聘的主要评审内容，受聘成功后据此签订正式聘任合同。</w:t>
      </w:r>
    </w:p>
    <w:p w14:paraId="770F314C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五、拟聘专家团队成员信息</w:t>
      </w:r>
    </w:p>
    <w:p w14:paraId="6B87C5AF">
      <w:pPr>
        <w:adjustRightInd w:val="0"/>
        <w:snapToGrid w:val="0"/>
        <w:spacing w:line="578" w:lineRule="exact"/>
        <w:ind w:firstLine="640" w:firstLineChars="200"/>
        <w:rPr>
          <w:rFonts w:eastAsia="楷体_GB2312"/>
          <w:b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指每个岗位由特聘专家根据工作需要，自主配备或设岗单位支持配备一定数量的团队骨干，协助特聘专家开展工作。</w:t>
      </w:r>
    </w:p>
    <w:p w14:paraId="51A82A16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六、拟聘专家简要情况</w:t>
      </w:r>
    </w:p>
    <w:p w14:paraId="49B66185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1.出生年月：填写格式如下，1976.01。</w:t>
      </w:r>
    </w:p>
    <w:p w14:paraId="3CE1A052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2.学历：填写国家承认的最高学历。</w:t>
      </w:r>
    </w:p>
    <w:p w14:paraId="46B96B27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填写下列学历之一（未毕业的，应注明结业、肄业）：博士研究生/硕士研究生/大学本科/大学专科。</w:t>
      </w:r>
    </w:p>
    <w:p w14:paraId="3ABBC943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3.学位：国内外获得的最高学位。</w:t>
      </w:r>
    </w:p>
    <w:p w14:paraId="22E3C9D5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填写下列学位之一：博士/硕士/学士。</w:t>
      </w:r>
    </w:p>
    <w:p w14:paraId="7F0F1561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4.毕业学校：最高学历（学位）的毕业学校（学校名称以毕业证书上的学校公章名称为准）。</w:t>
      </w:r>
    </w:p>
    <w:p w14:paraId="40B065DF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5.现工作单位：填写目前全职工作单位。</w:t>
      </w:r>
    </w:p>
    <w:p w14:paraId="259DC156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6.从事专业：指现正从事或擅长的学科、专业。根据附件《学科、专业目录》所列的二级学科、专业名称填写。</w:t>
      </w:r>
    </w:p>
    <w:p w14:paraId="5C07ED58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7.专业技术职务（称）：填经人事部门正式批准或授权批准的专业技术职务（称）。名称要按国家公布的职务名称规范填写。如拟聘专家现在海外任职，其职务名称要保留原文，并译成中文附在原文后。</w:t>
      </w:r>
    </w:p>
    <w:p w14:paraId="53422A3B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8.党政职务：填写目前在全职工作单位所担任的党政最高职务；高等院校党政职务只填至校（院）、系两级。</w:t>
      </w:r>
    </w:p>
    <w:p w14:paraId="4AAB014D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9.博导年份：被有关学位委员会批准为博士生导师的年份。</w:t>
      </w:r>
    </w:p>
    <w:p w14:paraId="5B75A9EE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10.回国年份：指曾在海外（含台、港、澳地区）定居的华裔专家归国工作时间。含建国后从大陆出国留学、进修学成取得外国国籍或居住权的回国人员。</w:t>
      </w:r>
    </w:p>
    <w:p w14:paraId="18B2A282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11.何处归来：应与回国年份相对应。</w:t>
      </w:r>
    </w:p>
    <w:p w14:paraId="7423E02C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12.主要学术组织任职情况: 指是否担任各级科技委员会、学术委员会、专家委员会主任、副主任以及在全国性、全省性学术组织的任职情况。</w:t>
      </w:r>
    </w:p>
    <w:p w14:paraId="3F4BBB3E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七、拟聘专家近五年取得的主要学术技术成就</w:t>
      </w:r>
    </w:p>
    <w:p w14:paraId="2278EE80">
      <w:pPr>
        <w:adjustRightInd w:val="0"/>
        <w:snapToGrid w:val="0"/>
        <w:spacing w:line="578" w:lineRule="exact"/>
        <w:ind w:firstLine="640" w:firstLineChars="200"/>
        <w:rPr>
          <w:rFonts w:eastAsia="楷体_GB2312"/>
          <w:b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本栏目主要填写拟聘专家近五年来取得的最具代表性的成果。“近五年”起算时间为2019年1月，本表中所有“近五年”均按此解释。</w:t>
      </w:r>
    </w:p>
    <w:p w14:paraId="473F5D19">
      <w:pPr>
        <w:adjustRightInd w:val="0"/>
        <w:snapToGrid w:val="0"/>
        <w:spacing w:line="578" w:lineRule="exact"/>
        <w:ind w:firstLine="640" w:firstLineChars="200"/>
        <w:rPr>
          <w:rFonts w:eastAsia="楷体_GB2312"/>
          <w:bCs/>
          <w:color w:val="000000"/>
          <w:sz w:val="32"/>
          <w:szCs w:val="32"/>
        </w:rPr>
      </w:pPr>
      <w:r>
        <w:rPr>
          <w:rFonts w:eastAsia="楷体_GB2312"/>
          <w:bCs/>
          <w:color w:val="000000"/>
          <w:sz w:val="32"/>
          <w:szCs w:val="32"/>
        </w:rPr>
        <w:t>（一）近五年承担的主要科研项目</w:t>
      </w:r>
    </w:p>
    <w:p w14:paraId="485B5C41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1.项目名称：请依次填写国家级科研项目、国际合作课题、省部级科研项目；地厅级科研项目不填。</w:t>
      </w:r>
    </w:p>
    <w:p w14:paraId="1DA7525D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2.项目性质及来源：填写项目的具体性质，如 “国家杰出青年科学基金” “国家自然科学基金”等。</w:t>
      </w:r>
    </w:p>
    <w:p w14:paraId="048AEA3C">
      <w:pPr>
        <w:adjustRightInd w:val="0"/>
        <w:snapToGrid w:val="0"/>
        <w:spacing w:line="578" w:lineRule="exact"/>
        <w:ind w:firstLine="640" w:firstLineChars="200"/>
        <w:rPr>
          <w:rFonts w:eastAsia="楷体_GB2312"/>
          <w:bCs/>
          <w:color w:val="000000"/>
          <w:sz w:val="32"/>
          <w:szCs w:val="32"/>
        </w:rPr>
      </w:pPr>
      <w:r>
        <w:rPr>
          <w:rFonts w:eastAsia="楷体_GB2312"/>
          <w:bCs/>
          <w:color w:val="000000"/>
          <w:sz w:val="32"/>
          <w:szCs w:val="32"/>
        </w:rPr>
        <w:t>（二） 拟聘专家近五年获得的重要科研奖项</w:t>
      </w:r>
    </w:p>
    <w:p w14:paraId="46304590">
      <w:pPr>
        <w:adjustRightInd w:val="0"/>
        <w:snapToGrid w:val="0"/>
        <w:spacing w:line="578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获奖项目名称：请依次填写国家级科技奖励、国家级社科奖励；省部级科技奖励（二等以上）、省部级社科奖（二等以上）；国际学术奖励。</w:t>
      </w:r>
    </w:p>
    <w:p w14:paraId="412917B8">
      <w:pPr>
        <w:adjustRightInd w:val="0"/>
        <w:snapToGrid w:val="0"/>
        <w:spacing w:line="578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八、各级推荐单位意见</w:t>
      </w:r>
    </w:p>
    <w:p w14:paraId="0B7B2DD7">
      <w:pPr>
        <w:adjustRightInd w:val="0"/>
        <w:snapToGrid w:val="0"/>
        <w:spacing w:line="578" w:lineRule="exact"/>
        <w:ind w:firstLine="640" w:firstLineChars="200"/>
        <w:rPr>
          <w:rFonts w:eastAsia="楷体_GB2312"/>
          <w:b/>
          <w:bCs/>
          <w:sz w:val="84"/>
          <w:szCs w:val="22"/>
        </w:rPr>
      </w:pPr>
      <w:r>
        <w:rPr>
          <w:rFonts w:eastAsia="仿宋_GB2312"/>
          <w:bCs/>
          <w:color w:val="000000"/>
          <w:sz w:val="32"/>
          <w:szCs w:val="32"/>
        </w:rPr>
        <w:t>各级推荐单位按照隶属关系逐级审核后，报经市（州）人力资源社会保障局或省级主管部门或中央在川单位主（代）管部门审核盖章后报人力资源社会保障厅。中央在川单位在川无主（代）管部门的，由中央在川单位填写。</w:t>
      </w:r>
    </w:p>
    <w:p w14:paraId="222BCA51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</w:p>
    <w:p w14:paraId="0ECEA2CF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</w:p>
    <w:p w14:paraId="1DC06778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</w:p>
    <w:p w14:paraId="3981FF7B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</w:p>
    <w:p w14:paraId="5CB3DD44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</w:p>
    <w:p w14:paraId="04CCAD04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</w:p>
    <w:p w14:paraId="279399E8">
      <w:pPr>
        <w:adjustRightInd w:val="0"/>
        <w:snapToGrid w:val="0"/>
        <w:jc w:val="center"/>
        <w:rPr>
          <w:rFonts w:eastAsia="方正魏碑简体"/>
          <w:bCs/>
          <w:sz w:val="84"/>
          <w:szCs w:val="22"/>
        </w:rPr>
      </w:pPr>
      <w:r>
        <w:rPr>
          <w:rFonts w:eastAsia="方正魏碑简体"/>
          <w:bCs/>
          <w:sz w:val="84"/>
          <w:szCs w:val="22"/>
        </w:rPr>
        <w:t>学科、专业目录</w:t>
      </w:r>
    </w:p>
    <w:p w14:paraId="09E39458">
      <w:pPr>
        <w:jc w:val="center"/>
        <w:rPr>
          <w:rFonts w:eastAsia="楷体_GB2312"/>
          <w:b/>
          <w:bCs/>
          <w:sz w:val="84"/>
          <w:szCs w:val="22"/>
        </w:rPr>
      </w:pPr>
    </w:p>
    <w:p w14:paraId="2E66D94B">
      <w:pPr>
        <w:jc w:val="center"/>
        <w:rPr>
          <w:rFonts w:eastAsia="楷体_GB2312"/>
          <w:b/>
          <w:bCs/>
          <w:sz w:val="84"/>
          <w:szCs w:val="22"/>
        </w:rPr>
      </w:pPr>
    </w:p>
    <w:p w14:paraId="2B1881EA">
      <w:pPr>
        <w:jc w:val="center"/>
        <w:rPr>
          <w:rFonts w:eastAsia="楷体_GB2312"/>
          <w:b/>
          <w:bCs/>
          <w:sz w:val="84"/>
          <w:szCs w:val="22"/>
        </w:rPr>
      </w:pPr>
    </w:p>
    <w:p w14:paraId="6BAEC796">
      <w:pPr>
        <w:jc w:val="center"/>
        <w:rPr>
          <w:rFonts w:eastAsia="楷体_GB2312"/>
          <w:b/>
          <w:bCs/>
          <w:sz w:val="84"/>
          <w:szCs w:val="22"/>
        </w:rPr>
      </w:pPr>
    </w:p>
    <w:p w14:paraId="57F8E0A8">
      <w:pPr>
        <w:jc w:val="center"/>
        <w:rPr>
          <w:rFonts w:eastAsia="楷体_GB2312"/>
          <w:b/>
          <w:bCs/>
          <w:sz w:val="84"/>
          <w:szCs w:val="22"/>
        </w:rPr>
      </w:pPr>
    </w:p>
    <w:p w14:paraId="07C1E37C">
      <w:pPr>
        <w:jc w:val="center"/>
        <w:rPr>
          <w:rFonts w:eastAsia="楷体_GB2312"/>
          <w:b/>
          <w:bCs/>
          <w:sz w:val="84"/>
          <w:szCs w:val="22"/>
        </w:rPr>
      </w:pPr>
    </w:p>
    <w:p w14:paraId="678CCC3E">
      <w:pPr>
        <w:pStyle w:val="2"/>
        <w:ind w:left="840" w:hanging="420"/>
      </w:pPr>
    </w:p>
    <w:p w14:paraId="4AED3C8C"/>
    <w:p w14:paraId="3CA662A5">
      <w:pPr>
        <w:pStyle w:val="2"/>
        <w:ind w:left="840" w:hanging="420"/>
      </w:pPr>
    </w:p>
    <w:p w14:paraId="1A6213DC"/>
    <w:p w14:paraId="7926B319">
      <w:pPr>
        <w:pStyle w:val="2"/>
        <w:ind w:left="840" w:hanging="420"/>
      </w:pPr>
    </w:p>
    <w:p w14:paraId="4C16A0B3"/>
    <w:p w14:paraId="122EF065">
      <w:pPr>
        <w:pStyle w:val="2"/>
        <w:ind w:left="840" w:hanging="420"/>
      </w:pPr>
    </w:p>
    <w:p w14:paraId="3A04ED6E"/>
    <w:p w14:paraId="4E864AD0">
      <w:pPr>
        <w:pStyle w:val="2"/>
        <w:ind w:left="840" w:hanging="420"/>
      </w:pPr>
    </w:p>
    <w:p w14:paraId="2F051236"/>
    <w:p w14:paraId="2A70DF60">
      <w:pPr>
        <w:pStyle w:val="2"/>
        <w:ind w:left="840" w:hanging="420"/>
      </w:pPr>
    </w:p>
    <w:p w14:paraId="6CEBF7D7"/>
    <w:p w14:paraId="479BB7B9">
      <w:pPr>
        <w:adjustRightInd w:val="0"/>
        <w:snapToGrid w:val="0"/>
        <w:spacing w:line="640" w:lineRule="exact"/>
        <w:jc w:val="center"/>
        <w:rPr>
          <w:rFonts w:eastAsia="楷体_GB2312"/>
          <w:bCs/>
          <w:sz w:val="36"/>
          <w:szCs w:val="36"/>
        </w:rPr>
      </w:pPr>
      <w:r>
        <w:rPr>
          <w:rFonts w:eastAsia="楷体_GB2312"/>
          <w:bCs/>
          <w:sz w:val="36"/>
          <w:szCs w:val="36"/>
        </w:rPr>
        <w:t>四川省人力资源和社会保障厅</w:t>
      </w:r>
    </w:p>
    <w:p w14:paraId="35DBD842">
      <w:pPr>
        <w:adjustRightInd w:val="0"/>
        <w:snapToGrid w:val="0"/>
        <w:spacing w:line="640" w:lineRule="exact"/>
        <w:jc w:val="center"/>
        <w:rPr>
          <w:rFonts w:eastAsia="楷体_GB2312"/>
          <w:bCs/>
          <w:sz w:val="36"/>
          <w:szCs w:val="36"/>
        </w:rPr>
      </w:pPr>
      <w:r>
        <w:rPr>
          <w:rFonts w:eastAsia="楷体_GB2312"/>
          <w:bCs/>
          <w:sz w:val="36"/>
          <w:szCs w:val="36"/>
        </w:rPr>
        <w:t>2024年制</w:t>
      </w:r>
    </w:p>
    <w:p w14:paraId="393E2D9C">
      <w:pPr>
        <w:ind w:firstLine="3618" w:firstLineChars="1001"/>
        <w:rPr>
          <w:rFonts w:eastAsia="方正小标宋简体"/>
          <w:bCs/>
          <w:sz w:val="44"/>
          <w:szCs w:val="44"/>
        </w:rPr>
      </w:pPr>
      <w:r>
        <w:rPr>
          <w:b/>
          <w:bCs/>
          <w:sz w:val="36"/>
          <w:szCs w:val="22"/>
        </w:rPr>
        <w:br w:type="page"/>
      </w:r>
      <w:r>
        <w:rPr>
          <w:rFonts w:eastAsia="方正小标宋简体"/>
          <w:bCs/>
          <w:sz w:val="44"/>
          <w:szCs w:val="44"/>
        </w:rPr>
        <w:t>说  明</w:t>
      </w:r>
    </w:p>
    <w:p w14:paraId="450297BE">
      <w:pPr>
        <w:adjustRightInd w:val="0"/>
        <w:snapToGrid w:val="0"/>
        <w:spacing w:line="540" w:lineRule="exact"/>
        <w:ind w:firstLine="562" w:firstLineChars="200"/>
        <w:rPr>
          <w:rFonts w:eastAsia="仿宋_GB2312"/>
          <w:b/>
          <w:bCs/>
          <w:sz w:val="28"/>
          <w:szCs w:val="28"/>
        </w:rPr>
      </w:pPr>
    </w:p>
    <w:p w14:paraId="0A66486D">
      <w:pPr>
        <w:adjustRightInd w:val="0"/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1、本目录供填写</w:t>
      </w:r>
      <w:r>
        <w:rPr>
          <w:rFonts w:eastAsia="仿宋_GB2312"/>
          <w:kern w:val="0"/>
          <w:sz w:val="32"/>
          <w:szCs w:val="32"/>
        </w:rPr>
        <w:t>《四川省“天府学者”特聘专家选聘推荐表》</w:t>
      </w:r>
      <w:r>
        <w:rPr>
          <w:rFonts w:eastAsia="仿宋_GB2312"/>
          <w:sz w:val="32"/>
          <w:szCs w:val="32"/>
        </w:rPr>
        <w:t>使用。</w:t>
      </w:r>
    </w:p>
    <w:p w14:paraId="1305BF6E">
      <w:pPr>
        <w:adjustRightInd w:val="0"/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2、本目录中：一至十三所列为学科、专业门类，1至102所列为一级学科、专业，其余所列为二级学科、专业。</w:t>
      </w:r>
    </w:p>
    <w:p w14:paraId="07A4F037">
      <w:pPr>
        <w:spacing w:line="600" w:lineRule="exact"/>
        <w:ind w:left="3598" w:leftChars="385" w:hanging="2790" w:hangingChars="872"/>
        <w:rPr>
          <w:sz w:val="32"/>
          <w:szCs w:val="32"/>
        </w:rPr>
      </w:pPr>
    </w:p>
    <w:p w14:paraId="075A66DE">
      <w:pPr>
        <w:snapToGrid w:val="0"/>
        <w:spacing w:line="600" w:lineRule="exact"/>
        <w:jc w:val="center"/>
        <w:rPr>
          <w:b/>
          <w:bCs/>
          <w:sz w:val="36"/>
          <w:szCs w:val="36"/>
        </w:rPr>
      </w:pPr>
    </w:p>
    <w:p w14:paraId="04C91961">
      <w:pPr>
        <w:snapToGrid w:val="0"/>
        <w:spacing w:line="600" w:lineRule="exact"/>
        <w:jc w:val="center"/>
        <w:rPr>
          <w:b/>
          <w:bCs/>
          <w:sz w:val="36"/>
          <w:szCs w:val="36"/>
        </w:rPr>
      </w:pPr>
    </w:p>
    <w:p w14:paraId="024459B7">
      <w:pPr>
        <w:snapToGrid w:val="0"/>
        <w:spacing w:line="600" w:lineRule="exact"/>
        <w:jc w:val="center"/>
        <w:rPr>
          <w:b/>
          <w:bCs/>
          <w:sz w:val="36"/>
          <w:szCs w:val="36"/>
        </w:rPr>
      </w:pPr>
    </w:p>
    <w:p w14:paraId="15E2471B">
      <w:pPr>
        <w:snapToGrid w:val="0"/>
        <w:spacing w:line="600" w:lineRule="exact"/>
        <w:jc w:val="center"/>
        <w:rPr>
          <w:b/>
          <w:bCs/>
          <w:sz w:val="36"/>
          <w:szCs w:val="36"/>
        </w:rPr>
      </w:pPr>
    </w:p>
    <w:p w14:paraId="1380D165">
      <w:pPr>
        <w:snapToGrid w:val="0"/>
        <w:spacing w:line="600" w:lineRule="exact"/>
        <w:jc w:val="center"/>
        <w:rPr>
          <w:rFonts w:eastAsia="仿宋_GB2312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575816DC">
      <w:pPr>
        <w:snapToGrid w:val="0"/>
        <w:spacing w:line="264" w:lineRule="auto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一、哲学</w:t>
      </w:r>
    </w:p>
    <w:p w14:paraId="0682CAC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b/>
          <w:bCs/>
          <w:sz w:val="24"/>
        </w:rPr>
        <w:t>1、哲学</w:t>
      </w:r>
    </w:p>
    <w:p w14:paraId="5518C79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马克思主义哲学        中国哲学           外国哲学</w:t>
      </w:r>
    </w:p>
    <w:p w14:paraId="5160F26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逻辑学                伦理学             美学</w:t>
      </w:r>
    </w:p>
    <w:p w14:paraId="7DFCBB1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宗教学                科学技术哲学</w:t>
      </w:r>
    </w:p>
    <w:p w14:paraId="3D5D6A07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二、经济学</w:t>
      </w:r>
    </w:p>
    <w:p w14:paraId="2FE3E6F6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2、理论经济学</w:t>
      </w:r>
    </w:p>
    <w:p w14:paraId="61AE5BC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政治经济学            经济思想史           经济史</w:t>
      </w:r>
    </w:p>
    <w:p w14:paraId="163D0E9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西方经济学            世界经济      人口、资源与环境经济学</w:t>
      </w:r>
    </w:p>
    <w:p w14:paraId="7AA236A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3、应用经济学</w:t>
      </w:r>
    </w:p>
    <w:p w14:paraId="7D4E228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国民经济学            区域经济学            财政学</w:t>
      </w:r>
    </w:p>
    <w:p w14:paraId="20DBC7B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金融学                产业经济学            国际贸易学</w:t>
      </w:r>
    </w:p>
    <w:p w14:paraId="5180FCB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劳动经济学            统计学               数量经济学</w:t>
      </w:r>
    </w:p>
    <w:p w14:paraId="52E382E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国防经济</w:t>
      </w:r>
    </w:p>
    <w:p w14:paraId="5CF8C44D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三、法学</w:t>
      </w:r>
    </w:p>
    <w:p w14:paraId="20484FC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4、法学</w:t>
      </w:r>
    </w:p>
    <w:p w14:paraId="44F761C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法学理论              法律史             宪法学与行政法学</w:t>
      </w:r>
    </w:p>
    <w:p w14:paraId="68B5DC6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刑法学                民商法学               诉讼法学</w:t>
      </w:r>
    </w:p>
    <w:p w14:paraId="1DB5F0A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经济法学              环境与资源保护法学       国际法学</w:t>
      </w:r>
    </w:p>
    <w:p w14:paraId="770393B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军事法学</w:t>
      </w:r>
    </w:p>
    <w:p w14:paraId="45BC1707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5、政治学</w:t>
      </w:r>
    </w:p>
    <w:p w14:paraId="6A2FDAA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政治学理论          中外政治制度</w:t>
      </w:r>
    </w:p>
    <w:p w14:paraId="02BE231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科学社会主义与国际共产主义运动             中共党史</w:t>
      </w:r>
    </w:p>
    <w:p w14:paraId="0B1295C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国际政治             国际关系              外交学</w:t>
      </w:r>
    </w:p>
    <w:p w14:paraId="68E29FE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6、社会学</w:t>
      </w:r>
    </w:p>
    <w:p w14:paraId="17A733D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社会学               人口学                人类学</w:t>
      </w:r>
    </w:p>
    <w:p w14:paraId="3EC7086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民俗学</w:t>
      </w:r>
    </w:p>
    <w:p w14:paraId="5F35AF1C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7、民族学</w:t>
      </w:r>
    </w:p>
    <w:p w14:paraId="3D2E5C5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民族学        马克思主义民族理论与政策    中国少数民族经济</w:t>
      </w:r>
    </w:p>
    <w:p w14:paraId="2C9F9ED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中国少数民族史      中国少数民族艺术</w:t>
      </w:r>
    </w:p>
    <w:p w14:paraId="5A0D3511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8、马克思主义理论</w:t>
      </w:r>
    </w:p>
    <w:p w14:paraId="36B09F6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马克思主义基本原理   马克思主义发展史  马克思主义中国化研究</w:t>
      </w:r>
    </w:p>
    <w:p w14:paraId="5699450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国外马克思主义研究   思想政治教育  中国近现代史基本问题研究</w:t>
      </w:r>
    </w:p>
    <w:p w14:paraId="20441B2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9、公安学</w:t>
      </w:r>
    </w:p>
    <w:p w14:paraId="14B1A927">
      <w:pPr>
        <w:snapToGrid w:val="0"/>
        <w:spacing w:line="400" w:lineRule="exact"/>
        <w:jc w:val="center"/>
        <w:rPr>
          <w:rFonts w:eastAsia="黑体"/>
          <w:bCs/>
          <w:sz w:val="24"/>
        </w:rPr>
      </w:pPr>
    </w:p>
    <w:p w14:paraId="5A04F5E4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四、教育学</w:t>
      </w:r>
    </w:p>
    <w:p w14:paraId="0D4C6A2B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10、教育学</w:t>
      </w:r>
    </w:p>
    <w:p w14:paraId="31028AA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教育学原理          课程与教学论         教育史</w:t>
      </w:r>
    </w:p>
    <w:p w14:paraId="0BEE015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比较教育学          学前教育学          高等教育学</w:t>
      </w:r>
    </w:p>
    <w:p w14:paraId="066EB70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成人教育学          职业技术教育学      特殊教育学</w:t>
      </w:r>
    </w:p>
    <w:p w14:paraId="78636B1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教育技术学          教育法学</w:t>
      </w:r>
    </w:p>
    <w:p w14:paraId="474CB71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11、心理学（可归教育学、理学）</w:t>
      </w:r>
    </w:p>
    <w:p w14:paraId="3A6A12D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基础心理学         发展与教育心理学         应用心理学</w:t>
      </w:r>
    </w:p>
    <w:p w14:paraId="11F9CF2F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12、体育学</w:t>
      </w:r>
    </w:p>
    <w:p w14:paraId="355A378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体育人文社会学       运动人体科学        体育教育训练学</w:t>
      </w:r>
    </w:p>
    <w:p w14:paraId="3DCBE97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民族传统体育学 </w:t>
      </w:r>
    </w:p>
    <w:p w14:paraId="2C7BA6D3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五、文学</w:t>
      </w:r>
    </w:p>
    <w:p w14:paraId="74DCB5D9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13、中国语言文学</w:t>
      </w:r>
    </w:p>
    <w:p w14:paraId="395380C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文艺学              语言学及应用语言学      汉语言文字学</w:t>
      </w:r>
    </w:p>
    <w:p w14:paraId="2614851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中国古典文献学        中国古代文学          中国现当代文学</w:t>
      </w:r>
    </w:p>
    <w:p w14:paraId="200B310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中国少数民族语言文学   比较文学与世界文学</w:t>
      </w:r>
    </w:p>
    <w:p w14:paraId="58830AB6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14、外国语言文学</w:t>
      </w:r>
    </w:p>
    <w:p w14:paraId="3A54EF2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英语语言文学          俄语语言文学          法语语言文学</w:t>
      </w:r>
    </w:p>
    <w:p w14:paraId="0BE9326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德语语言文学          日语语言文学          印度语言文学</w:t>
      </w:r>
    </w:p>
    <w:p w14:paraId="7EEB91A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西班牙语语言文学      阿拉伯语语言文学      欧洲语言文学</w:t>
      </w:r>
    </w:p>
    <w:p w14:paraId="2916933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亚非语言文学          外国语言学及应用语言学</w:t>
      </w:r>
    </w:p>
    <w:p w14:paraId="7EB88B17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15、新闻传播学</w:t>
      </w:r>
    </w:p>
    <w:p w14:paraId="3D0627C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新闻学                传播学</w:t>
      </w:r>
    </w:p>
    <w:p w14:paraId="59476281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六、历史学</w:t>
      </w:r>
    </w:p>
    <w:p w14:paraId="1C5085B6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16、考古学</w:t>
      </w:r>
    </w:p>
    <w:p w14:paraId="5A0224EE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17、中国史</w:t>
      </w:r>
    </w:p>
    <w:p w14:paraId="51ABD03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18、世界史</w:t>
      </w:r>
    </w:p>
    <w:p w14:paraId="4204C562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七、理学</w:t>
      </w:r>
    </w:p>
    <w:p w14:paraId="62C42CF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19、数学</w:t>
      </w:r>
    </w:p>
    <w:p w14:paraId="61FED85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基础数学            计算数学              概率论与数理统计</w:t>
      </w:r>
    </w:p>
    <w:p w14:paraId="1E39D8D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应用数学            运筹学与控制论</w:t>
      </w:r>
    </w:p>
    <w:p w14:paraId="0FBF86C0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20、物理学</w:t>
      </w:r>
    </w:p>
    <w:p w14:paraId="13FEA54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理论物理           粒子物理与原子核物理      原子与分子物理</w:t>
      </w:r>
    </w:p>
    <w:p w14:paraId="4F73C7D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等离子体物理         凝聚态物理               声学</w:t>
      </w:r>
    </w:p>
    <w:p w14:paraId="38DC9BF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光学                 无线电物理</w:t>
      </w:r>
    </w:p>
    <w:p w14:paraId="6B2D1C6C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21、化学</w:t>
      </w:r>
    </w:p>
    <w:p w14:paraId="782F5CA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无机化学              分析化学               有机化学</w:t>
      </w:r>
    </w:p>
    <w:p w14:paraId="4289C42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物理化学             高分子化学与物理</w:t>
      </w:r>
    </w:p>
    <w:p w14:paraId="43C14D7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22、天文学</w:t>
      </w:r>
    </w:p>
    <w:p w14:paraId="56FCF21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天体物理             天体测量与天体力学</w:t>
      </w:r>
    </w:p>
    <w:p w14:paraId="69CF1B4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23、地理学</w:t>
      </w:r>
    </w:p>
    <w:p w14:paraId="2A6097E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自然地理学           人文地理学      地图学与地理信息系统</w:t>
      </w:r>
    </w:p>
    <w:p w14:paraId="65FD862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24、大气科学</w:t>
      </w:r>
    </w:p>
    <w:p w14:paraId="1C7BD4D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气象学               大气物理学与大气环境</w:t>
      </w:r>
    </w:p>
    <w:p w14:paraId="70AEAEEB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25、海洋科学</w:t>
      </w:r>
    </w:p>
    <w:p w14:paraId="35C13D9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物理海洋学              海洋化学            海洋生物学</w:t>
      </w:r>
    </w:p>
    <w:p w14:paraId="070EAC4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海洋地质</w:t>
      </w:r>
    </w:p>
    <w:p w14:paraId="1EC2D97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26、地球物理学</w:t>
      </w:r>
    </w:p>
    <w:p w14:paraId="5584711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固体地球物理学          空间物理学</w:t>
      </w:r>
    </w:p>
    <w:p w14:paraId="45DAA52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27、地质学</w:t>
      </w:r>
    </w:p>
    <w:p w14:paraId="0D3F17C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矿物学、岩石学、矿床学      地球化学     古生物学与地层学</w:t>
      </w:r>
    </w:p>
    <w:p w14:paraId="4001909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构造地质学              第四纪地质学</w:t>
      </w:r>
    </w:p>
    <w:p w14:paraId="1333543F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28、生物学</w:t>
      </w:r>
    </w:p>
    <w:p w14:paraId="5BA566D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植物学                动物学               生理学</w:t>
      </w:r>
    </w:p>
    <w:p w14:paraId="151D600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水生生物学            微生物学             神经生物学</w:t>
      </w:r>
    </w:p>
    <w:p w14:paraId="7E13FEF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遗传学                发育生物学           细胞生物学</w:t>
      </w:r>
    </w:p>
    <w:p w14:paraId="58D4106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生物化学与分子生物学     生物物理学        生态学</w:t>
      </w:r>
    </w:p>
    <w:p w14:paraId="6DD71987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29、系统科学</w:t>
      </w:r>
    </w:p>
    <w:p w14:paraId="100C1AF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系统理论             系统分析与集成</w:t>
      </w:r>
    </w:p>
    <w:p w14:paraId="013AD90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30、科学技术史（可归理学、工学、农学、医学）</w:t>
      </w:r>
    </w:p>
    <w:p w14:paraId="34A8F89A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31、生态学</w:t>
      </w:r>
    </w:p>
    <w:p w14:paraId="5E0E323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32、统计学（可归理学、经济学）</w:t>
      </w:r>
    </w:p>
    <w:p w14:paraId="0D9B470C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八、工学</w:t>
      </w:r>
    </w:p>
    <w:p w14:paraId="5AE92AD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33、力学（可归工学、理学）</w:t>
      </w:r>
    </w:p>
    <w:p w14:paraId="3673109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一般力学与力学基础     固体力学          流体力学</w:t>
      </w:r>
    </w:p>
    <w:p w14:paraId="5C53303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工程力学</w:t>
      </w:r>
    </w:p>
    <w:p w14:paraId="0759B16A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34、机械工程</w:t>
      </w:r>
    </w:p>
    <w:p w14:paraId="6D470B7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机械制造及其自动化     机械电子工程      机械设计及理论</w:t>
      </w:r>
    </w:p>
    <w:p w14:paraId="382E922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车辆工程</w:t>
      </w:r>
    </w:p>
    <w:p w14:paraId="1633B97B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35、光学工程</w:t>
      </w:r>
    </w:p>
    <w:p w14:paraId="053B3BCA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36、仪器科学与技术</w:t>
      </w:r>
    </w:p>
    <w:p w14:paraId="676FD75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精密仪器及机械         测试计量技术及仪器</w:t>
      </w:r>
    </w:p>
    <w:p w14:paraId="036DA4B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37、材料科学与工程（可归工学、理学）</w:t>
      </w:r>
    </w:p>
    <w:p w14:paraId="5773F25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材料物理与化学           材料学            材料加工工程</w:t>
      </w:r>
    </w:p>
    <w:p w14:paraId="19695D2C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38、冶金工程</w:t>
      </w:r>
    </w:p>
    <w:p w14:paraId="53683DE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冶金物理化学             钢铁冶金          有色金属冶金</w:t>
      </w:r>
    </w:p>
    <w:p w14:paraId="7C8ECFB6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39、动力工程及工程热物理</w:t>
      </w:r>
    </w:p>
    <w:p w14:paraId="1DA5874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工程热物理              热能工程           动力机械及工程</w:t>
      </w:r>
    </w:p>
    <w:p w14:paraId="1B6C1E4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流体机械及工程          制冷及低温工程     化工过程机械</w:t>
      </w:r>
    </w:p>
    <w:p w14:paraId="2F0B09F9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40、电气工程</w:t>
      </w:r>
    </w:p>
    <w:p w14:paraId="5960323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电机与电器          电力系统及其自动化    高电压与绝缘技术</w:t>
      </w:r>
    </w:p>
    <w:p w14:paraId="35C4A7B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电力电子与电力传动     电工理论与新技术</w:t>
      </w:r>
    </w:p>
    <w:p w14:paraId="510F12C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41、电子科学与技术（可归工学、理学）</w:t>
      </w:r>
    </w:p>
    <w:p w14:paraId="633F873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物理电子学             电路与系统      微电子学与固体电子学</w:t>
      </w:r>
    </w:p>
    <w:p w14:paraId="3C26907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电磁场与微波技术</w:t>
      </w:r>
    </w:p>
    <w:p w14:paraId="496B458E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42、信息与通信工程</w:t>
      </w:r>
    </w:p>
    <w:p w14:paraId="121FED1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通信与信息系统         信号与信息处理</w:t>
      </w:r>
    </w:p>
    <w:p w14:paraId="5721050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43、控制科学与工程</w:t>
      </w:r>
    </w:p>
    <w:p w14:paraId="7DF7D3D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控制理论与控制工程     检测技术与自动化装置       系统工程</w:t>
      </w:r>
    </w:p>
    <w:p w14:paraId="5A0B641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模式识别与智能系统       导航、制导与控制</w:t>
      </w:r>
    </w:p>
    <w:p w14:paraId="337962B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44、计算机科学与技术（可归工学、理学）</w:t>
      </w:r>
    </w:p>
    <w:p w14:paraId="35DBE80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计算机系统结构          计算机软件与理论     计算机应用技术</w:t>
      </w:r>
    </w:p>
    <w:p w14:paraId="57B708B0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45、建筑学</w:t>
      </w:r>
    </w:p>
    <w:p w14:paraId="57239D0B">
      <w:pPr>
        <w:snapToGrid w:val="0"/>
        <w:spacing w:line="400" w:lineRule="exact"/>
        <w:ind w:firstLine="624"/>
        <w:rPr>
          <w:color w:val="000000"/>
          <w:kern w:val="0"/>
          <w:sz w:val="24"/>
          <w:szCs w:val="22"/>
        </w:rPr>
      </w:pPr>
      <w:r>
        <w:rPr>
          <w:rFonts w:eastAsia="仿宋_GB2312"/>
          <w:bCs/>
          <w:sz w:val="24"/>
        </w:rPr>
        <w:t>建筑历史与理论          建筑设计及其理论       城市规划与设计</w:t>
      </w:r>
    </w:p>
    <w:p w14:paraId="27005209">
      <w:pPr>
        <w:snapToGrid w:val="0"/>
        <w:spacing w:line="400" w:lineRule="exact"/>
        <w:ind w:firstLine="624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建筑技术科学</w:t>
      </w:r>
    </w:p>
    <w:p w14:paraId="36A2E3E9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46、土木工程</w:t>
      </w:r>
    </w:p>
    <w:p w14:paraId="15C48D6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岩土工程                结构工程               市政工程</w:t>
      </w:r>
    </w:p>
    <w:p w14:paraId="0592D02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供热、供燃气、通风及空调工程        防灾减灾工程及防护工程</w:t>
      </w:r>
    </w:p>
    <w:p w14:paraId="681DCFC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桥梁与隧道工程</w:t>
      </w:r>
    </w:p>
    <w:p w14:paraId="33D6FC69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47、水利工程</w:t>
      </w:r>
    </w:p>
    <w:p w14:paraId="54E936D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水文学及水资源      水力学及河流动力学         水工结构工程</w:t>
      </w:r>
    </w:p>
    <w:p w14:paraId="2078487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水利水电工程        港口、海岸及近海工程</w:t>
      </w:r>
    </w:p>
    <w:p w14:paraId="5A73A06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48、测绘科学与技术</w:t>
      </w:r>
    </w:p>
    <w:p w14:paraId="7B60CC8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大地测量学与测量工程      摄影测量与遥感  </w:t>
      </w:r>
    </w:p>
    <w:p w14:paraId="7FB4146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地图制图学与地理信息工程</w:t>
      </w:r>
    </w:p>
    <w:p w14:paraId="698B7856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49、化学工程与技术</w:t>
      </w:r>
    </w:p>
    <w:p w14:paraId="5B59E96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化学工程                 化学工艺             生物化工</w:t>
      </w:r>
    </w:p>
    <w:p w14:paraId="446E0BA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应用化学                 工业催化</w:t>
      </w:r>
    </w:p>
    <w:p w14:paraId="668C1F0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50、地质资源与地质工程</w:t>
      </w:r>
    </w:p>
    <w:p w14:paraId="1711314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矿产普查与勘探        地球探测与信息技术         地质工程</w:t>
      </w:r>
    </w:p>
    <w:p w14:paraId="537266BE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51、矿业工程</w:t>
      </w:r>
    </w:p>
    <w:p w14:paraId="2CC159C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采矿工程               矿物加工工程          安全技术及工程</w:t>
      </w:r>
    </w:p>
    <w:p w14:paraId="379BB50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52、石油与天然气工程</w:t>
      </w:r>
    </w:p>
    <w:p w14:paraId="6154C6A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油气井工程             油气田开发工程          油气储运工程</w:t>
      </w:r>
    </w:p>
    <w:p w14:paraId="4C3ECD8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53、纺织科学与工程</w:t>
      </w:r>
    </w:p>
    <w:p w14:paraId="75B2F00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纺织工程          纺织材料与纺织品设计   纺织化学与染整工程</w:t>
      </w:r>
    </w:p>
    <w:p w14:paraId="37B29B0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服装设计与工程</w:t>
      </w:r>
    </w:p>
    <w:p w14:paraId="013E908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54、轻工技术与工程</w:t>
      </w:r>
    </w:p>
    <w:p w14:paraId="4362559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制浆造纸工程             制糖工程                 发酵工程</w:t>
      </w:r>
    </w:p>
    <w:p w14:paraId="4AA25FC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皮革化学与工程</w:t>
      </w:r>
    </w:p>
    <w:p w14:paraId="52044CF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55、交通运输工程</w:t>
      </w:r>
    </w:p>
    <w:p w14:paraId="7888A4C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道路与铁道工程       交通信息工程及控制  交通运输规划与管理</w:t>
      </w:r>
    </w:p>
    <w:p w14:paraId="750CCB5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载运工具运用工程</w:t>
      </w:r>
    </w:p>
    <w:p w14:paraId="5C1E829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56、船舶与海洋工程</w:t>
      </w:r>
    </w:p>
    <w:p w14:paraId="78EBB98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船舶与海洋结构物设计制造      轮机工程          水声工程</w:t>
      </w:r>
    </w:p>
    <w:p w14:paraId="52EBB73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57、航空宇航科学与技术</w:t>
      </w:r>
    </w:p>
    <w:p w14:paraId="5D505F9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飞行器设计       航空宇航推进理论与工程    航空宇航制造工程</w:t>
      </w:r>
    </w:p>
    <w:p w14:paraId="6088216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人机与环境工程</w:t>
      </w:r>
    </w:p>
    <w:p w14:paraId="24E9F0D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58、兵器科学与技术</w:t>
      </w:r>
    </w:p>
    <w:p w14:paraId="072FEF9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武器系统与运用工程                兵器发射理论与技术</w:t>
      </w:r>
    </w:p>
    <w:p w14:paraId="32836971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火炮、自动武器与弹药工程          军事化学与烟火技术</w:t>
      </w:r>
    </w:p>
    <w:p w14:paraId="2DEFCB1A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59、核科学与技术</w:t>
      </w:r>
    </w:p>
    <w:p w14:paraId="4314910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核能科学与工程         核燃料循环与材料       核技术及应用</w:t>
      </w:r>
    </w:p>
    <w:p w14:paraId="4EE9D42E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辐射防护及环境保护</w:t>
      </w:r>
    </w:p>
    <w:p w14:paraId="495CD39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60、农业工程</w:t>
      </w:r>
    </w:p>
    <w:p w14:paraId="5BDD6BE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农业机械化工程      农业水土工程   农业生物环境与能源工程</w:t>
      </w:r>
    </w:p>
    <w:p w14:paraId="1A3713C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农业电气化与自动化</w:t>
      </w:r>
    </w:p>
    <w:p w14:paraId="4E6DFAB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61、林业工程</w:t>
      </w:r>
    </w:p>
    <w:p w14:paraId="62A9994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森林工程            木材科学与技术      林产化学加工工程</w:t>
      </w:r>
    </w:p>
    <w:p w14:paraId="31171B30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62、环境科学与工程（可归工学、理学、农学）</w:t>
      </w:r>
    </w:p>
    <w:p w14:paraId="6A8B7F20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环境科学            环境工程</w:t>
      </w:r>
    </w:p>
    <w:p w14:paraId="4FBC1A5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63、生物医学工程（可归工学、理学、医学）</w:t>
      </w:r>
    </w:p>
    <w:p w14:paraId="77848A00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64、食品科学与工程（可归工学、农学）</w:t>
      </w:r>
    </w:p>
    <w:p w14:paraId="0FE78AE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食品科学    粮食、油脂及植物蛋白工程    农产品加工及贮藏工程</w:t>
      </w:r>
    </w:p>
    <w:p w14:paraId="6913C16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水产品加工及贮藏工程</w:t>
      </w:r>
    </w:p>
    <w:p w14:paraId="4128B837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65、城乡规划学</w:t>
      </w:r>
    </w:p>
    <w:p w14:paraId="02A42E4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66、风景园林学（可归工学、农学）</w:t>
      </w:r>
    </w:p>
    <w:p w14:paraId="62F7FF7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67、软件工程</w:t>
      </w:r>
    </w:p>
    <w:p w14:paraId="04317161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68、生物工程</w:t>
      </w:r>
    </w:p>
    <w:p w14:paraId="05D825C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69、安全科学与工程</w:t>
      </w:r>
    </w:p>
    <w:p w14:paraId="1D807B2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70、公安技术</w:t>
      </w:r>
    </w:p>
    <w:p w14:paraId="2A4232EB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71、网络空间安全</w:t>
      </w:r>
    </w:p>
    <w:p w14:paraId="41973C6D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九、农学</w:t>
      </w:r>
    </w:p>
    <w:p w14:paraId="410EDFA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72、作物学</w:t>
      </w:r>
    </w:p>
    <w:p w14:paraId="11C316E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作物栽培学与耕作学       作物遗传育种</w:t>
      </w:r>
    </w:p>
    <w:p w14:paraId="190E58B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73、园艺学</w:t>
      </w:r>
    </w:p>
    <w:p w14:paraId="013D8FF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果树学                   蔬菜学                   茶学</w:t>
      </w:r>
    </w:p>
    <w:p w14:paraId="4F80E71E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74、农业资源与环境</w:t>
      </w:r>
    </w:p>
    <w:p w14:paraId="2F165C19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土壤学                   植物营养学</w:t>
      </w:r>
    </w:p>
    <w:p w14:paraId="775B072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75、植物保护</w:t>
      </w:r>
    </w:p>
    <w:p w14:paraId="6C7C6CA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植物病理学              农业昆虫与害虫防治       农药学</w:t>
      </w:r>
    </w:p>
    <w:p w14:paraId="7971779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76、畜牧学</w:t>
      </w:r>
    </w:p>
    <w:p w14:paraId="275F4D15">
      <w:pPr>
        <w:snapToGrid w:val="0"/>
        <w:spacing w:line="400" w:lineRule="exact"/>
        <w:ind w:firstLine="624"/>
        <w:rPr>
          <w:color w:val="000000"/>
          <w:kern w:val="0"/>
          <w:sz w:val="24"/>
          <w:szCs w:val="22"/>
        </w:rPr>
      </w:pPr>
      <w:r>
        <w:rPr>
          <w:rFonts w:eastAsia="仿宋_GB2312"/>
          <w:sz w:val="24"/>
        </w:rPr>
        <w:t>动物遗传育种与繁殖     动物营养与饲料科学       草业科学</w:t>
      </w:r>
    </w:p>
    <w:p w14:paraId="544939E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特种经济动物饲养</w:t>
      </w:r>
    </w:p>
    <w:p w14:paraId="0395B9D9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77、兽医学</w:t>
      </w:r>
    </w:p>
    <w:p w14:paraId="2A2A55D7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基础兽医学             预防兽医学              临床兽医学</w:t>
      </w:r>
    </w:p>
    <w:p w14:paraId="046EB3D0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78、林学</w:t>
      </w:r>
    </w:p>
    <w:p w14:paraId="5D51C96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林木遗传育种           森林培育                森林保护学</w:t>
      </w:r>
    </w:p>
    <w:p w14:paraId="6D8CBB2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森林经理学      野生动植物保护与利用     园林植物与观赏园艺</w:t>
      </w:r>
    </w:p>
    <w:p w14:paraId="4AABE4A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水土保持与荒漠化防治</w:t>
      </w:r>
    </w:p>
    <w:p w14:paraId="7DE6D771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79、水产</w:t>
      </w:r>
    </w:p>
    <w:p w14:paraId="7B332C2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水产养殖            捕捞学               渔业资源</w:t>
      </w:r>
    </w:p>
    <w:p w14:paraId="57BAFE0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80、草学</w:t>
      </w:r>
    </w:p>
    <w:p w14:paraId="472A72AC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十、医学</w:t>
      </w:r>
    </w:p>
    <w:p w14:paraId="65174D9F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81、基础医学（可归医学、理学）</w:t>
      </w:r>
    </w:p>
    <w:p w14:paraId="1B4BAF08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人体解剖与组织胚胎学        免疫学           病原生物学</w:t>
      </w:r>
    </w:p>
    <w:p w14:paraId="737CAE8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病理学与病理生理学          法医学           放射医学</w:t>
      </w:r>
    </w:p>
    <w:p w14:paraId="7EAAAC50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82、临床医学</w:t>
      </w:r>
    </w:p>
    <w:p w14:paraId="69EC572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内科学                     儿科学            老年医学</w:t>
      </w:r>
    </w:p>
    <w:p w14:paraId="3E2FE7B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神经病学              精神病与精神卫生学     皮肤病与性病学</w:t>
      </w:r>
    </w:p>
    <w:p w14:paraId="0EB4036F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影像医学与核医学        临床检验诊断学       护理学</w:t>
      </w:r>
    </w:p>
    <w:p w14:paraId="3051297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外科学                    妇产科学           眼科学            </w:t>
      </w:r>
    </w:p>
    <w:p w14:paraId="6EE0C2D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耳鼻咽喉科学              肿瘤学             康复医学与理疗学       </w:t>
      </w:r>
    </w:p>
    <w:p w14:paraId="5CBD60A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运动医学                  麻醉学             急诊医学</w:t>
      </w:r>
    </w:p>
    <w:p w14:paraId="780C911E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83、口腔医学</w:t>
      </w:r>
    </w:p>
    <w:p w14:paraId="17A6603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口腔基础医学              口腔临床医学</w:t>
      </w:r>
    </w:p>
    <w:p w14:paraId="6711856B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84、公共卫生与预防医学（可归医学、理学）</w:t>
      </w:r>
    </w:p>
    <w:p w14:paraId="2C60505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流行病与卫生统计学     劳动卫生与环境卫生学   营养与食品卫生学</w:t>
      </w:r>
    </w:p>
    <w:p w14:paraId="1918EFA6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儿少卫生与妇幼保健学        卫生毒理学         军事预防医学</w:t>
      </w:r>
    </w:p>
    <w:p w14:paraId="4685800A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85、中医学</w:t>
      </w:r>
    </w:p>
    <w:p w14:paraId="3FC5F44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中医基础理论          中医临床基础           中医医史文献</w:t>
      </w:r>
    </w:p>
    <w:p w14:paraId="105BF8B3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方剂学                中医诊断学             中医内科学</w:t>
      </w:r>
    </w:p>
    <w:p w14:paraId="06271F4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中医外科学            中医骨伤科学           中医妇科学</w:t>
      </w:r>
    </w:p>
    <w:p w14:paraId="0E31A40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中医儿科学            中医五官科学           针灸推拿学</w:t>
      </w:r>
    </w:p>
    <w:p w14:paraId="756CA69E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民族医学（含：藏医学、蒙医学等）</w:t>
      </w:r>
    </w:p>
    <w:p w14:paraId="2F24769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86、中西医结合</w:t>
      </w:r>
    </w:p>
    <w:p w14:paraId="7A2ABEA5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中西医结合基础         中西医结合临床</w:t>
      </w:r>
    </w:p>
    <w:p w14:paraId="3FFCD34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87、药学（可归医学、理学）</w:t>
      </w:r>
    </w:p>
    <w:p w14:paraId="538AB3D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药物化学                  药剂学               生药学</w:t>
      </w:r>
    </w:p>
    <w:p w14:paraId="3EE39152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药物分析学           微生物与生化药学          药理学</w:t>
      </w:r>
    </w:p>
    <w:p w14:paraId="136DDBCF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88、中药学（可归医学、理学）</w:t>
      </w:r>
    </w:p>
    <w:p w14:paraId="1837AF27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89、特种医学</w:t>
      </w:r>
    </w:p>
    <w:p w14:paraId="3E77CA3D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90、医学技术（可归医学、理学）</w:t>
      </w:r>
    </w:p>
    <w:p w14:paraId="78966CB2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91、护理学（可归医学、理学）</w:t>
      </w:r>
    </w:p>
    <w:p w14:paraId="6F3F7311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十一、管理学</w:t>
      </w:r>
    </w:p>
    <w:p w14:paraId="238C9F9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92、管理科学与工程（可归管理学、工学）</w:t>
      </w:r>
    </w:p>
    <w:p w14:paraId="5C0C49E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93、工商管理</w:t>
      </w:r>
    </w:p>
    <w:p w14:paraId="5AD7B26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会计学                    企业管理               旅游管理</w:t>
      </w:r>
    </w:p>
    <w:p w14:paraId="02A497CD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技术经济及管理</w:t>
      </w:r>
    </w:p>
    <w:p w14:paraId="2BBCD45C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94、农林经济管理</w:t>
      </w:r>
    </w:p>
    <w:p w14:paraId="30687934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农业经济管理             林业经济管理</w:t>
      </w:r>
    </w:p>
    <w:p w14:paraId="4DA93A24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95、公共管理</w:t>
      </w:r>
    </w:p>
    <w:p w14:paraId="640F90BB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行政管理          社会医学与卫生事业管理     教育经济与管理</w:t>
      </w:r>
    </w:p>
    <w:p w14:paraId="10E56D0C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社会保障               土地资源管理</w:t>
      </w:r>
    </w:p>
    <w:p w14:paraId="281C71D8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96、图书情报与档案管理</w:t>
      </w:r>
    </w:p>
    <w:p w14:paraId="6FF3790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图书馆学               情报学                  档案学</w:t>
      </w:r>
    </w:p>
    <w:p w14:paraId="0698CC1F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十二、艺术学</w:t>
      </w:r>
    </w:p>
    <w:p w14:paraId="3A8EA9A1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97、艺术学理论</w:t>
      </w:r>
    </w:p>
    <w:p w14:paraId="7E26254F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98、音乐与舞蹈学</w:t>
      </w:r>
    </w:p>
    <w:p w14:paraId="4AFAFF65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99、戏剧与影视学</w:t>
      </w:r>
    </w:p>
    <w:p w14:paraId="0FAC03C3">
      <w:pPr>
        <w:snapToGrid w:val="0"/>
        <w:spacing w:line="400" w:lineRule="exact"/>
        <w:ind w:firstLine="624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100、美术学</w:t>
      </w:r>
    </w:p>
    <w:p w14:paraId="022EE66A">
      <w:pPr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b/>
          <w:bCs/>
          <w:sz w:val="24"/>
        </w:rPr>
        <w:t>101、设计学（可归艺术学、工学）</w:t>
      </w:r>
    </w:p>
    <w:p w14:paraId="4C19BF2C">
      <w:pPr>
        <w:snapToGrid w:val="0"/>
        <w:spacing w:line="400" w:lineRule="exact"/>
        <w:jc w:val="center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十三、中小学教育学</w:t>
      </w:r>
    </w:p>
    <w:p w14:paraId="0B9C1AC7">
      <w:pPr>
        <w:tabs>
          <w:tab w:val="left" w:pos="7520"/>
        </w:tabs>
        <w:adjustRightInd w:val="0"/>
        <w:snapToGrid w:val="0"/>
        <w:spacing w:line="400" w:lineRule="exact"/>
        <w:ind w:firstLine="624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102、中、小学教育学</w:t>
      </w:r>
    </w:p>
    <w:p w14:paraId="50EC006F">
      <w:pPr>
        <w:adjustRightInd w:val="0"/>
        <w:snapToGrid w:val="0"/>
        <w:spacing w:line="400" w:lineRule="exact"/>
        <w:ind w:firstLine="624"/>
        <w:rPr>
          <w:rFonts w:eastAsia="仿宋_GB2312"/>
          <w:sz w:val="24"/>
        </w:rPr>
      </w:pPr>
      <w:r>
        <w:rPr>
          <w:rFonts w:eastAsia="仿宋_GB2312"/>
          <w:sz w:val="24"/>
        </w:rPr>
        <w:t>学前教育学             普通教育学              职业技术教育学</w:t>
      </w:r>
    </w:p>
    <w:p w14:paraId="77CB9CBC">
      <w:pPr>
        <w:pStyle w:val="2"/>
        <w:ind w:left="840" w:hanging="420"/>
      </w:pPr>
    </w:p>
    <w:p w14:paraId="7A222052"/>
    <w:p w14:paraId="3C7F528B">
      <w:pPr>
        <w:pStyle w:val="2"/>
        <w:ind w:left="840" w:hanging="420"/>
      </w:pPr>
    </w:p>
    <w:p w14:paraId="0377B4B9"/>
    <w:p w14:paraId="082ECA4C">
      <w:pPr>
        <w:pStyle w:val="2"/>
        <w:ind w:left="840" w:hanging="420"/>
      </w:pPr>
    </w:p>
    <w:p w14:paraId="7173BB63"/>
    <w:p w14:paraId="773F0C22">
      <w:pPr>
        <w:pStyle w:val="2"/>
        <w:ind w:left="840" w:hanging="420"/>
      </w:pPr>
    </w:p>
    <w:p w14:paraId="1565541F"/>
    <w:p w14:paraId="34E74042">
      <w:pPr>
        <w:pStyle w:val="2"/>
        <w:ind w:left="840" w:hanging="420"/>
      </w:pPr>
    </w:p>
    <w:p w14:paraId="471ECE09"/>
    <w:p w14:paraId="181BF78E">
      <w:pPr>
        <w:pStyle w:val="2"/>
        <w:ind w:left="840" w:hanging="420"/>
      </w:pPr>
    </w:p>
    <w:p w14:paraId="2D9585DB"/>
    <w:p w14:paraId="458AFF8E">
      <w:pPr>
        <w:pStyle w:val="2"/>
        <w:ind w:left="840" w:hanging="420"/>
      </w:pPr>
    </w:p>
    <w:p w14:paraId="7A2FFDF3">
      <w:bookmarkStart w:id="0" w:name="_GoBack"/>
      <w:bookmarkEnd w:id="0"/>
    </w:p>
    <w:p w14:paraId="3CE9FEDC">
      <w:pPr>
        <w:pStyle w:val="2"/>
        <w:ind w:left="840" w:hanging="420"/>
      </w:pPr>
    </w:p>
    <w:p w14:paraId="60BB91C7"/>
    <w:p w14:paraId="5F216B64">
      <w:pPr>
        <w:pStyle w:val="2"/>
        <w:ind w:left="840" w:hanging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魏碑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4NTdkZWM3ZjRjZmUxNDcwZjMwYWU1MGZkMjkyYWIifQ=="/>
  </w:docVars>
  <w:rsids>
    <w:rsidRoot w:val="4A417667"/>
    <w:rsid w:val="08381BDD"/>
    <w:rsid w:val="1B8340B2"/>
    <w:rsid w:val="1EEB7551"/>
    <w:rsid w:val="4A417667"/>
    <w:rsid w:val="7FDF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spacing w:line="240" w:lineRule="auto"/>
      <w:ind w:left="200" w:leftChars="200" w:hanging="200" w:hanging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2024-08-06T07:59:00Z</dcterms:created>
  <dc:creator>Yuer</dc:creator>
  <cp:lastModifiedBy>Yuer</cp:lastModifiedBy>
  <dcterms:modified xsi:type="dcterms:W3CDTF">2024-08-06T08:02:32Z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10994B2ED0B24F1B9F32DAB00A03E27A_11</vt:lpwstr>
  </property>
</Properties>
</file>