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648EE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关于《四川省科研诚信管理暂行办法</w:t>
      </w:r>
    </w:p>
    <w:p w14:paraId="3AF4DE41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（征求意见稿）》的情况说明</w:t>
      </w:r>
    </w:p>
    <w:p w14:paraId="2D91DD5C"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 w14:paraId="3FFC84C0">
      <w:pPr>
        <w:suppressAutoHyphens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根据相关要求，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现将《四川省科研诚信管理暂行办法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（征求意见稿）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》文件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有关</w:t>
      </w:r>
      <w:r>
        <w:rPr>
          <w:rFonts w:ascii="Times New Roman" w:hAnsi="Times New Roman" w:eastAsia="仿宋_GB2312"/>
          <w:color w:val="000000"/>
          <w:sz w:val="32"/>
          <w:szCs w:val="32"/>
        </w:rPr>
        <w:t>情况说明如下。</w:t>
      </w:r>
    </w:p>
    <w:p w14:paraId="4D75BC34">
      <w:pPr>
        <w:suppressAutoHyphens w:val="0"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一、背景依据</w:t>
      </w:r>
    </w:p>
    <w:p w14:paraId="21CDE5AC">
      <w:pPr>
        <w:suppressAutoHyphens w:val="0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为进一步加强四川省科研诚信建设，规范科研诚信管理，优化科研生态环境，依据《中华人民共和国科学技术进步法》《关于进一步加强科研诚信建设的若干意见》</w:t>
      </w:r>
      <w:r>
        <w:rPr>
          <w:rFonts w:ascii="Times New Roman" w:hAnsi="Times New Roman" w:eastAsia="仿宋_GB2312" w:cs="Times New Roman"/>
          <w:sz w:val="32"/>
          <w:szCs w:val="32"/>
        </w:rPr>
        <w:t>（厅字〔2018〕23号）</w:t>
      </w:r>
      <w:r>
        <w:rPr>
          <w:rFonts w:hint="eastAsia" w:ascii="仿宋_GB2312" w:hAnsi="仿宋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等法律法规及政策文件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，科技厅研究起草了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《四川省科研诚信管理暂行办法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（征求意见稿）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40E86DBC">
      <w:pPr>
        <w:suppressAutoHyphens w:val="0"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二、主要内容</w:t>
      </w:r>
    </w:p>
    <w:p w14:paraId="0B14F833">
      <w:pPr>
        <w:widowControl/>
        <w:suppressAutoHyphens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四川省科研诚信管理暂行办法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（征求意见稿）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共六章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54A8EA5">
      <w:pPr>
        <w:widowControl/>
        <w:suppressAutoHyphens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第一章总则，明确了本办法的背景目的以及科研诚信管理定义及原则。</w:t>
      </w:r>
    </w:p>
    <w:p w14:paraId="6582B517">
      <w:pPr>
        <w:widowControl/>
        <w:suppressAutoHyphens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第二章职责分工，明确了科技厅、行业主管部门、各级科技管理部门、受托管理机构及各单位及科研人员职责。</w:t>
      </w:r>
    </w:p>
    <w:p w14:paraId="13E3A234">
      <w:pPr>
        <w:widowControl/>
        <w:suppressAutoHyphens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第三章科研失信记录，明确了失信行为记录定义、科研失信行为类型、严重失信行为、一般失信行为及记录范围和方式、记录管理主体。</w:t>
      </w:r>
    </w:p>
    <w:p w14:paraId="36AF640C">
      <w:pPr>
        <w:widowControl/>
        <w:suppressAutoHyphens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第四章管理机制，规定了科研诚信管理的承诺机制、审核机制、激励机制、惩戒机制、动态调整机制、信用修复机制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1C44E7E0">
      <w:pPr>
        <w:widowControl/>
        <w:suppressAutoHyphens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第五章管理措施，规定了科研诚信的宣传教育、透明度和公开性、检测评估、线索发现、记录结果运用、问责。</w:t>
      </w:r>
    </w:p>
    <w:p w14:paraId="4276F645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第六章附则，规定了管理办法的解释和生效时间。</w:t>
      </w:r>
    </w:p>
    <w:p w14:paraId="45AC6D3C"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82BAC"/>
    <w:rsid w:val="11997077"/>
    <w:rsid w:val="1C8E616A"/>
    <w:rsid w:val="246410F7"/>
    <w:rsid w:val="2CBFEFD5"/>
    <w:rsid w:val="4D844D3C"/>
    <w:rsid w:val="5E910DA3"/>
    <w:rsid w:val="77BD64AC"/>
    <w:rsid w:val="7ECB7C46"/>
    <w:rsid w:val="A7FEC173"/>
    <w:rsid w:val="FBF54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line="540" w:lineRule="exact"/>
      <w:ind w:firstLine="20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499</Characters>
  <Lines>0</Lines>
  <Paragraphs>0</Paragraphs>
  <TotalTime>4.66666666666667</TotalTime>
  <ScaleCrop>false</ScaleCrop>
  <LinksUpToDate>false</LinksUpToDate>
  <CharactersWithSpaces>501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zhaoyuan</dc:creator>
  <cp:lastModifiedBy>柏林</cp:lastModifiedBy>
  <dcterms:modified xsi:type="dcterms:W3CDTF">2024-07-09T11:22:04Z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5141BF1CCC504E8485110B2F15ED00E8_13</vt:lpwstr>
  </property>
</Properties>
</file>