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Y="3421"/>
        <w:tblW w:w="8647" w:type="dxa"/>
        <w:tblInd w:w="0" w:type="dxa"/>
        <w:tblLayout w:type="autofit"/>
        <w:tblCellMar>
          <w:top w:w="0" w:type="dxa"/>
          <w:left w:w="108" w:type="dxa"/>
          <w:bottom w:w="0" w:type="dxa"/>
          <w:right w:w="108" w:type="dxa"/>
        </w:tblCellMar>
      </w:tblPr>
      <w:tblGrid>
        <w:gridCol w:w="709"/>
        <w:gridCol w:w="4106"/>
        <w:gridCol w:w="3832"/>
      </w:tblGrid>
      <w:tr>
        <w:tblPrEx>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 w:cs="Times New Roman"/>
                <w:kern w:val="0"/>
                <w:sz w:val="24"/>
                <w:szCs w:val="24"/>
              </w:rPr>
            </w:pPr>
            <w:r>
              <w:rPr>
                <w:rFonts w:hint="eastAsia" w:ascii="Times New Roman" w:hAnsi="Times New Roman" w:eastAsia="方正仿宋" w:cs="Times New Roman"/>
                <w:kern w:val="0"/>
                <w:sz w:val="24"/>
                <w:szCs w:val="24"/>
              </w:rPr>
              <w:t>序号</w:t>
            </w:r>
          </w:p>
        </w:tc>
        <w:tc>
          <w:tcPr>
            <w:tcW w:w="41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 w:cs="Times New Roman"/>
                <w:kern w:val="0"/>
                <w:sz w:val="24"/>
                <w:szCs w:val="24"/>
              </w:rPr>
            </w:pPr>
            <w:r>
              <w:rPr>
                <w:rFonts w:hint="eastAsia" w:ascii="Times New Roman" w:hAnsi="Times New Roman" w:eastAsia="方正仿宋" w:cs="Times New Roman"/>
                <w:kern w:val="0"/>
                <w:sz w:val="24"/>
                <w:szCs w:val="24"/>
              </w:rPr>
              <w:t>企业名称</w:t>
            </w:r>
          </w:p>
        </w:tc>
        <w:tc>
          <w:tcPr>
            <w:tcW w:w="383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 w:cs="Times New Roman"/>
                <w:kern w:val="0"/>
                <w:sz w:val="24"/>
                <w:szCs w:val="24"/>
              </w:rPr>
            </w:pPr>
            <w:r>
              <w:rPr>
                <w:rFonts w:hint="eastAsia" w:ascii="Times New Roman" w:hAnsi="Times New Roman" w:eastAsia="方正仿宋" w:cs="Times New Roman"/>
                <w:kern w:val="0"/>
                <w:sz w:val="24"/>
                <w:szCs w:val="24"/>
              </w:rPr>
              <w:t>支持方向</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成都莱宝显示技术有限公司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 w:cs="宋体"/>
                <w:kern w:val="0"/>
                <w:sz w:val="24"/>
                <w:szCs w:val="24"/>
              </w:rPr>
            </w:pPr>
            <w:r>
              <w:rPr>
                <w:rFonts w:hint="eastAsia" w:ascii="Times New Roman" w:hAnsi="Times New Roman" w:eastAsia="方正仿宋" w:cs="宋体"/>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2</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成都菲斯特科技有限公司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3</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四川中光防雷科技股份有限公司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4</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成都艾威机械有限公司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5</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 w:cs="宋体"/>
                <w:kern w:val="0"/>
                <w:sz w:val="24"/>
                <w:szCs w:val="24"/>
              </w:rPr>
            </w:pPr>
            <w:r>
              <w:rPr>
                <w:rFonts w:hint="eastAsia" w:ascii="Times New Roman" w:hAnsi="Times New Roman" w:eastAsia="方正仿宋" w:cs="宋体"/>
                <w:kern w:val="0"/>
                <w:sz w:val="24"/>
                <w:szCs w:val="24"/>
              </w:rPr>
              <w:t>业成科技（成都）有限公司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6</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四川中科朗星光电科技有限公司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7</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TCL</w:t>
            </w:r>
            <w:r>
              <w:rPr>
                <w:rFonts w:hint="eastAsia" w:ascii="Times New Roman" w:hAnsi="Times New Roman" w:eastAsia="方正仿宋" w:cs="Times New Roman"/>
                <w:kern w:val="0"/>
                <w:sz w:val="24"/>
                <w:szCs w:val="24"/>
              </w:rPr>
              <w:t>王牌电器（成都）有限公司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8</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成都中科卓尔智能科技集团有限公司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9</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业泓科技</w:t>
            </w:r>
            <w:r>
              <w:rPr>
                <w:rFonts w:ascii="Times New Roman" w:hAnsi="Times New Roman" w:eastAsia="等线" w:cs="Times New Roman"/>
                <w:kern w:val="0"/>
                <w:sz w:val="24"/>
                <w:szCs w:val="24"/>
              </w:rPr>
              <w:t>(</w:t>
            </w:r>
            <w:r>
              <w:rPr>
                <w:rFonts w:hint="eastAsia" w:ascii="Times New Roman" w:hAnsi="Times New Roman" w:eastAsia="方正仿宋" w:cs="Times New Roman"/>
                <w:kern w:val="0"/>
                <w:sz w:val="24"/>
                <w:szCs w:val="24"/>
              </w:rPr>
              <w:t>成都</w:t>
            </w:r>
            <w:r>
              <w:rPr>
                <w:rFonts w:ascii="Times New Roman" w:hAnsi="Times New Roman" w:eastAsia="等线" w:cs="Times New Roman"/>
                <w:kern w:val="0"/>
                <w:sz w:val="24"/>
                <w:szCs w:val="24"/>
              </w:rPr>
              <w:t>)</w:t>
            </w:r>
            <w:r>
              <w:rPr>
                <w:rFonts w:hint="eastAsia" w:ascii="Times New Roman" w:hAnsi="Times New Roman" w:eastAsia="方正仿宋" w:cs="Times New Roman"/>
                <w:kern w:val="0"/>
                <w:sz w:val="24"/>
                <w:szCs w:val="24"/>
              </w:rPr>
              <w:t>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鼓励企业加大智能化、绿色化、数字化、高端化技术改造</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10</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成都宝利根创科电子有限公司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11</w:t>
            </w:r>
          </w:p>
        </w:tc>
        <w:tc>
          <w:tcPr>
            <w:tcW w:w="4106"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西门子工业自动化产品（成都）有限公司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12</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成都爱乐达航空制造股份有限公司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13</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索尔思光电（成都）有限公司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14</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成都四威高科技产业园有限公司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r>
        <w:tblPrEx>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ascii="Times New Roman" w:hAnsi="Times New Roman" w:eastAsia="等线" w:cs="Times New Roman"/>
                <w:kern w:val="0"/>
                <w:sz w:val="24"/>
                <w:szCs w:val="24"/>
              </w:rPr>
              <w:t>15</w:t>
            </w:r>
          </w:p>
        </w:tc>
        <w:tc>
          <w:tcPr>
            <w:tcW w:w="410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鸿富成精密电子（成都）有限公司</w:t>
            </w:r>
          </w:p>
        </w:tc>
        <w:tc>
          <w:tcPr>
            <w:tcW w:w="38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等线" w:cs="Times New Roman"/>
                <w:kern w:val="0"/>
                <w:sz w:val="24"/>
                <w:szCs w:val="24"/>
              </w:rPr>
            </w:pPr>
            <w:r>
              <w:rPr>
                <w:rFonts w:hint="eastAsia" w:ascii="Times New Roman" w:hAnsi="Times New Roman" w:eastAsia="方正仿宋" w:cs="Times New Roman"/>
                <w:kern w:val="0"/>
                <w:sz w:val="24"/>
                <w:szCs w:val="24"/>
              </w:rPr>
              <w:t>支持企业认定市级以上数字化车间或智能工厂</w:t>
            </w:r>
          </w:p>
        </w:tc>
      </w:tr>
    </w:tbl>
    <w:p>
      <w:pPr>
        <w:rPr>
          <w:rFonts w:ascii="Times New Roman" w:hAnsi="Times New Roman" w:eastAsia="方正仿宋_GBK" w:cs="仿宋"/>
          <w:b/>
          <w:sz w:val="32"/>
          <w:szCs w:val="32"/>
        </w:rPr>
      </w:pPr>
      <w:r>
        <w:rPr>
          <w:rFonts w:hint="eastAsia" w:ascii="Times New Roman" w:hAnsi="Times New Roman" w:eastAsia="方正仿宋_GBK" w:cs="仿宋"/>
          <w:b/>
          <w:sz w:val="32"/>
          <w:szCs w:val="32"/>
        </w:rPr>
        <w:t>附件：</w:t>
      </w:r>
    </w:p>
    <w:p>
      <w:pPr>
        <w:spacing w:line="560" w:lineRule="exact"/>
        <w:jc w:val="center"/>
        <w:rPr>
          <w:rFonts w:ascii="Times New Roman" w:hAnsi="Times New Roman" w:eastAsia="方正仿宋_GBK" w:cs="仿宋"/>
          <w:sz w:val="32"/>
          <w:szCs w:val="32"/>
        </w:rPr>
      </w:pPr>
      <w:bookmarkStart w:id="0" w:name="_GoBack"/>
      <w:r>
        <w:rPr>
          <w:rFonts w:ascii="Times New Roman" w:hAnsi="Times New Roman" w:eastAsia="方正仿宋_GBK" w:cs="仿宋"/>
          <w:sz w:val="32"/>
          <w:szCs w:val="32"/>
        </w:rPr>
        <w:t>2024年《成都高新技术产业开发区关于支持企业数字化智能化技术改造的若干政策》拟支持企业名单</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TcyYjFkOTBkYmRjZDk3OTkyMTJiZDRiYjZmNmQifQ=="/>
  </w:docVars>
  <w:rsids>
    <w:rsidRoot w:val="39E86598"/>
    <w:rsid w:val="39E8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2024-07-11T01:32:00Z</dcterms:created>
  <dc:creator>HUAWEI</dc:creator>
  <cp:lastModifiedBy>HUAWEI</cp:lastModifiedBy>
  <dcterms:modified xsi:type="dcterms:W3CDTF">2024-07-11T01:33:09Z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524125F156724A9A968288FB66686F20_11</vt:lpwstr>
  </property>
</Properties>
</file>