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06" w:rsidRDefault="00ED7806" w:rsidP="00ED7806">
      <w:pPr>
        <w:adjustRightInd w:val="0"/>
        <w:snapToGrid w:val="0"/>
        <w:rPr>
          <w:rFonts w:ascii="方正黑体简体" w:eastAsia="方正黑体简体" w:hAnsi="方正黑体简体" w:cs="方正黑体简体"/>
          <w:szCs w:val="24"/>
        </w:rPr>
      </w:pPr>
      <w:r>
        <w:rPr>
          <w:rFonts w:ascii="方正黑体简体" w:eastAsia="方正黑体简体" w:hAnsi="方正黑体简体" w:cs="方正黑体简体" w:hint="eastAsia"/>
          <w:szCs w:val="24"/>
        </w:rPr>
        <w:t>附件</w:t>
      </w:r>
    </w:p>
    <w:p w:rsidR="00ED7806" w:rsidRDefault="00ED7806" w:rsidP="00ED7806">
      <w:pPr>
        <w:adjustRightInd w:val="0"/>
        <w:snapToGrid w:val="0"/>
        <w:jc w:val="center"/>
        <w:rPr>
          <w:sz w:val="44"/>
          <w:szCs w:val="44"/>
        </w:rPr>
      </w:pPr>
    </w:p>
    <w:p w:rsidR="00ED7806" w:rsidRDefault="00ED7806" w:rsidP="00ED7806">
      <w:pPr>
        <w:adjustRightInd w:val="0"/>
        <w:snapToGrid w:val="0"/>
        <w:jc w:val="center"/>
        <w:rPr>
          <w:rFonts w:eastAsia="方正小标宋简体" w:hAnsi="方正小标宋简体"/>
          <w:sz w:val="44"/>
          <w:szCs w:val="44"/>
        </w:rPr>
      </w:pPr>
      <w:r>
        <w:rPr>
          <w:rFonts w:eastAsia="方正小标宋简体" w:hAnsi="方正小标宋简体"/>
          <w:sz w:val="44"/>
          <w:szCs w:val="44"/>
        </w:rPr>
        <w:t>节能减排补助资金转移支付区域（项目）</w:t>
      </w:r>
    </w:p>
    <w:p w:rsidR="00ED7806" w:rsidRDefault="00ED7806" w:rsidP="00ED7806">
      <w:pPr>
        <w:adjustRightInd w:val="0"/>
        <w:snapToGrid w:val="0"/>
        <w:jc w:val="center"/>
        <w:rPr>
          <w:rFonts w:eastAsia="方正小标宋简体"/>
          <w:sz w:val="44"/>
          <w:szCs w:val="44"/>
        </w:rPr>
      </w:pPr>
      <w:r>
        <w:rPr>
          <w:rFonts w:eastAsia="方正小标宋简体" w:hAnsi="方正小标宋简体"/>
          <w:sz w:val="44"/>
          <w:szCs w:val="44"/>
        </w:rPr>
        <w:t>绩效自评表</w:t>
      </w:r>
    </w:p>
    <w:p w:rsidR="00ED7806" w:rsidRDefault="00ED7806" w:rsidP="00ED7806">
      <w:pPr>
        <w:adjustRightInd w:val="0"/>
        <w:snapToGrid w:val="0"/>
        <w:jc w:val="center"/>
        <w:rPr>
          <w:rFonts w:eastAsia="方正楷体简体"/>
        </w:rPr>
      </w:pPr>
      <w:r>
        <w:rPr>
          <w:rFonts w:eastAsia="方正楷体简体"/>
        </w:rPr>
        <w:t>（</w:t>
      </w:r>
      <w:r>
        <w:rPr>
          <w:rFonts w:eastAsia="方正楷体简体"/>
        </w:rPr>
        <w:t>2023</w:t>
      </w:r>
      <w:r>
        <w:rPr>
          <w:rFonts w:eastAsia="方正楷体简体"/>
        </w:rPr>
        <w:t>年度）</w:t>
      </w:r>
    </w:p>
    <w:p w:rsidR="00ED7806" w:rsidRDefault="00ED7806" w:rsidP="00ED7806">
      <w:pPr>
        <w:adjustRightInd w:val="0"/>
        <w:snapToGrid w:val="0"/>
        <w:jc w:val="center"/>
        <w:rPr>
          <w:sz w:val="44"/>
          <w:szCs w:val="44"/>
        </w:rPr>
      </w:pPr>
    </w:p>
    <w:tbl>
      <w:tblPr>
        <w:tblW w:w="9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3"/>
        <w:gridCol w:w="801"/>
        <w:gridCol w:w="1150"/>
        <w:gridCol w:w="1917"/>
        <w:gridCol w:w="1366"/>
        <w:gridCol w:w="967"/>
        <w:gridCol w:w="17"/>
        <w:gridCol w:w="950"/>
        <w:gridCol w:w="1368"/>
      </w:tblGrid>
      <w:tr w:rsidR="00ED7806" w:rsidTr="00E149E0">
        <w:trPr>
          <w:trHeight w:val="567"/>
          <w:jc w:val="center"/>
        </w:trPr>
        <w:tc>
          <w:tcPr>
            <w:tcW w:w="2574" w:type="dxa"/>
            <w:gridSpan w:val="3"/>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转移支付（项目）名称</w:t>
            </w:r>
          </w:p>
        </w:tc>
        <w:tc>
          <w:tcPr>
            <w:tcW w:w="6585" w:type="dxa"/>
            <w:gridSpan w:val="6"/>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节能减排补助资金</w:t>
            </w:r>
          </w:p>
        </w:tc>
      </w:tr>
      <w:tr w:rsidR="00ED7806" w:rsidTr="00E149E0">
        <w:trPr>
          <w:trHeight w:val="567"/>
          <w:jc w:val="center"/>
        </w:trPr>
        <w:tc>
          <w:tcPr>
            <w:tcW w:w="2574" w:type="dxa"/>
            <w:gridSpan w:val="3"/>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中央主管部门</w:t>
            </w:r>
          </w:p>
        </w:tc>
        <w:tc>
          <w:tcPr>
            <w:tcW w:w="6585" w:type="dxa"/>
            <w:gridSpan w:val="6"/>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国家发展改革委、工业和信息化部、住房城乡建设部、交通运输部、国家能源局</w:t>
            </w:r>
          </w:p>
        </w:tc>
      </w:tr>
      <w:tr w:rsidR="00ED7806" w:rsidTr="00E149E0">
        <w:trPr>
          <w:trHeight w:val="567"/>
          <w:jc w:val="center"/>
        </w:trPr>
        <w:tc>
          <w:tcPr>
            <w:tcW w:w="2574" w:type="dxa"/>
            <w:gridSpan w:val="3"/>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地方主管部门</w:t>
            </w:r>
          </w:p>
        </w:tc>
        <w:tc>
          <w:tcPr>
            <w:tcW w:w="3283" w:type="dxa"/>
            <w:gridSpan w:val="2"/>
            <w:vAlign w:val="center"/>
          </w:tcPr>
          <w:p w:rsidR="00ED7806" w:rsidRDefault="00ED7806" w:rsidP="00E149E0">
            <w:pPr>
              <w:widowControl/>
              <w:overflowPunct w:val="0"/>
              <w:autoSpaceDE w:val="0"/>
              <w:adjustRightInd w:val="0"/>
              <w:snapToGrid w:val="0"/>
              <w:spacing w:line="300" w:lineRule="exact"/>
              <w:jc w:val="left"/>
              <w:textAlignment w:val="center"/>
              <w:rPr>
                <w:color w:val="000000"/>
                <w:sz w:val="21"/>
                <w:szCs w:val="21"/>
              </w:rPr>
            </w:pPr>
            <w:r>
              <w:rPr>
                <w:rFonts w:hAnsi="方正仿宋简体"/>
                <w:color w:val="000000"/>
                <w:kern w:val="0"/>
                <w:sz w:val="21"/>
                <w:szCs w:val="21"/>
                <w:lang/>
              </w:rPr>
              <w:t>相关区（市）县工业和信息化主管部门、财政局</w:t>
            </w:r>
          </w:p>
        </w:tc>
        <w:tc>
          <w:tcPr>
            <w:tcW w:w="984" w:type="dxa"/>
            <w:gridSpan w:val="2"/>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资金使用单位</w:t>
            </w:r>
          </w:p>
        </w:tc>
        <w:tc>
          <w:tcPr>
            <w:tcW w:w="2318" w:type="dxa"/>
            <w:gridSpan w:val="2"/>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企业</w:t>
            </w:r>
          </w:p>
        </w:tc>
      </w:tr>
      <w:tr w:rsidR="00ED7806" w:rsidTr="00E149E0">
        <w:trPr>
          <w:trHeight w:val="567"/>
          <w:jc w:val="center"/>
        </w:trPr>
        <w:tc>
          <w:tcPr>
            <w:tcW w:w="2574" w:type="dxa"/>
            <w:gridSpan w:val="3"/>
            <w:vMerge w:val="restart"/>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资金投入情况</w:t>
            </w:r>
            <w:r>
              <w:rPr>
                <w:color w:val="000000"/>
                <w:kern w:val="0"/>
                <w:sz w:val="21"/>
                <w:szCs w:val="21"/>
                <w:lang/>
              </w:rPr>
              <w:br/>
            </w:r>
            <w:r>
              <w:rPr>
                <w:rFonts w:hAnsi="方正仿宋简体"/>
                <w:color w:val="000000"/>
                <w:kern w:val="0"/>
                <w:sz w:val="21"/>
                <w:szCs w:val="21"/>
                <w:lang/>
              </w:rPr>
              <w:t>（万元）</w:t>
            </w:r>
          </w:p>
        </w:tc>
        <w:tc>
          <w:tcPr>
            <w:tcW w:w="1917" w:type="dxa"/>
            <w:vAlign w:val="center"/>
          </w:tcPr>
          <w:p w:rsidR="00ED7806" w:rsidRDefault="00ED7806" w:rsidP="00E149E0">
            <w:pPr>
              <w:widowControl/>
              <w:overflowPunct w:val="0"/>
              <w:autoSpaceDE w:val="0"/>
              <w:adjustRightInd w:val="0"/>
              <w:snapToGrid w:val="0"/>
              <w:spacing w:line="300" w:lineRule="exact"/>
              <w:rPr>
                <w:color w:val="000000"/>
                <w:sz w:val="21"/>
                <w:szCs w:val="21"/>
              </w:rPr>
            </w:pPr>
          </w:p>
        </w:tc>
        <w:tc>
          <w:tcPr>
            <w:tcW w:w="1366"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全年预算数（</w:t>
            </w:r>
            <w:r>
              <w:rPr>
                <w:color w:val="000000"/>
                <w:kern w:val="0"/>
                <w:sz w:val="21"/>
                <w:szCs w:val="21"/>
                <w:lang/>
              </w:rPr>
              <w:t>A</w:t>
            </w:r>
            <w:r>
              <w:rPr>
                <w:rFonts w:hAnsi="方正仿宋简体"/>
                <w:color w:val="000000"/>
                <w:kern w:val="0"/>
                <w:sz w:val="21"/>
                <w:szCs w:val="21"/>
                <w:lang/>
              </w:rPr>
              <w:t>）</w:t>
            </w:r>
          </w:p>
        </w:tc>
        <w:tc>
          <w:tcPr>
            <w:tcW w:w="1934" w:type="dxa"/>
            <w:gridSpan w:val="3"/>
            <w:vAlign w:val="center"/>
          </w:tcPr>
          <w:p w:rsidR="00ED7806" w:rsidRDefault="00ED7806" w:rsidP="00E149E0">
            <w:pPr>
              <w:widowControl/>
              <w:overflowPunct w:val="0"/>
              <w:autoSpaceDE w:val="0"/>
              <w:adjustRightInd w:val="0"/>
              <w:snapToGrid w:val="0"/>
              <w:spacing w:line="300" w:lineRule="exact"/>
              <w:jc w:val="center"/>
              <w:textAlignment w:val="center"/>
              <w:rPr>
                <w:color w:val="000000"/>
                <w:kern w:val="0"/>
                <w:sz w:val="21"/>
                <w:szCs w:val="21"/>
                <w:lang/>
              </w:rPr>
            </w:pPr>
            <w:r>
              <w:rPr>
                <w:rFonts w:hAnsi="方正仿宋简体"/>
                <w:color w:val="000000"/>
                <w:kern w:val="0"/>
                <w:sz w:val="21"/>
                <w:szCs w:val="21"/>
                <w:lang/>
              </w:rPr>
              <w:t>全年执行数</w:t>
            </w:r>
          </w:p>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w:t>
            </w:r>
            <w:r>
              <w:rPr>
                <w:color w:val="000000"/>
                <w:kern w:val="0"/>
                <w:sz w:val="21"/>
                <w:szCs w:val="21"/>
                <w:lang/>
              </w:rPr>
              <w:t>B</w:t>
            </w:r>
            <w:r>
              <w:rPr>
                <w:rFonts w:hAnsi="方正仿宋简体"/>
                <w:color w:val="000000"/>
                <w:kern w:val="0"/>
                <w:sz w:val="21"/>
                <w:szCs w:val="21"/>
                <w:lang/>
              </w:rPr>
              <w:t>）</w:t>
            </w:r>
          </w:p>
        </w:tc>
        <w:tc>
          <w:tcPr>
            <w:tcW w:w="1368"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预算执行率（</w:t>
            </w:r>
            <w:r>
              <w:rPr>
                <w:color w:val="000000"/>
                <w:kern w:val="0"/>
                <w:sz w:val="21"/>
                <w:szCs w:val="21"/>
                <w:lang/>
              </w:rPr>
              <w:t>B/A×100%)</w:t>
            </w:r>
          </w:p>
        </w:tc>
      </w:tr>
      <w:tr w:rsidR="00ED7806" w:rsidTr="00E149E0">
        <w:trPr>
          <w:trHeight w:val="567"/>
          <w:jc w:val="center"/>
        </w:trPr>
        <w:tc>
          <w:tcPr>
            <w:tcW w:w="2574" w:type="dxa"/>
            <w:gridSpan w:val="3"/>
            <w:vMerge/>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1917" w:type="dxa"/>
            <w:vAlign w:val="center"/>
          </w:tcPr>
          <w:p w:rsidR="00ED7806" w:rsidRDefault="00ED7806" w:rsidP="00E149E0">
            <w:pPr>
              <w:widowControl/>
              <w:overflowPunct w:val="0"/>
              <w:autoSpaceDE w:val="0"/>
              <w:adjustRightInd w:val="0"/>
              <w:snapToGrid w:val="0"/>
              <w:spacing w:line="300" w:lineRule="exact"/>
              <w:jc w:val="left"/>
              <w:textAlignment w:val="center"/>
              <w:rPr>
                <w:color w:val="000000"/>
                <w:sz w:val="21"/>
                <w:szCs w:val="21"/>
              </w:rPr>
            </w:pPr>
            <w:r>
              <w:rPr>
                <w:rFonts w:hAnsi="方正仿宋简体"/>
                <w:color w:val="000000"/>
                <w:kern w:val="0"/>
                <w:sz w:val="21"/>
                <w:szCs w:val="21"/>
                <w:lang/>
              </w:rPr>
              <w:t>年度资金总额：</w:t>
            </w:r>
          </w:p>
        </w:tc>
        <w:tc>
          <w:tcPr>
            <w:tcW w:w="1366"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color w:val="000000"/>
                <w:kern w:val="0"/>
                <w:sz w:val="21"/>
                <w:szCs w:val="21"/>
                <w:lang/>
              </w:rPr>
              <w:t>6249</w:t>
            </w:r>
          </w:p>
        </w:tc>
        <w:tc>
          <w:tcPr>
            <w:tcW w:w="1934" w:type="dxa"/>
            <w:gridSpan w:val="3"/>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color w:val="000000"/>
                <w:kern w:val="0"/>
                <w:sz w:val="21"/>
                <w:szCs w:val="21"/>
                <w:lang/>
              </w:rPr>
              <w:t>6249</w:t>
            </w:r>
          </w:p>
        </w:tc>
        <w:tc>
          <w:tcPr>
            <w:tcW w:w="1368"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color w:val="000000"/>
                <w:kern w:val="0"/>
                <w:sz w:val="21"/>
                <w:szCs w:val="21"/>
                <w:lang/>
              </w:rPr>
              <w:t>100.0%</w:t>
            </w:r>
          </w:p>
        </w:tc>
      </w:tr>
      <w:tr w:rsidR="00ED7806" w:rsidTr="00E149E0">
        <w:trPr>
          <w:trHeight w:val="567"/>
          <w:jc w:val="center"/>
        </w:trPr>
        <w:tc>
          <w:tcPr>
            <w:tcW w:w="2574" w:type="dxa"/>
            <w:gridSpan w:val="3"/>
            <w:vMerge/>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1917" w:type="dxa"/>
            <w:vAlign w:val="center"/>
          </w:tcPr>
          <w:p w:rsidR="00ED7806" w:rsidRDefault="00ED7806" w:rsidP="00E149E0">
            <w:pPr>
              <w:widowControl/>
              <w:overflowPunct w:val="0"/>
              <w:autoSpaceDE w:val="0"/>
              <w:adjustRightInd w:val="0"/>
              <w:snapToGrid w:val="0"/>
              <w:spacing w:line="300" w:lineRule="exact"/>
              <w:jc w:val="left"/>
              <w:textAlignment w:val="center"/>
              <w:rPr>
                <w:color w:val="000000"/>
                <w:sz w:val="21"/>
                <w:szCs w:val="21"/>
              </w:rPr>
            </w:pPr>
            <w:r>
              <w:rPr>
                <w:color w:val="000000"/>
                <w:kern w:val="0"/>
                <w:sz w:val="21"/>
                <w:szCs w:val="21"/>
                <w:lang/>
              </w:rPr>
              <w:t xml:space="preserve"> </w:t>
            </w:r>
            <w:r>
              <w:rPr>
                <w:rFonts w:hAnsi="方正仿宋简体"/>
                <w:color w:val="000000"/>
                <w:kern w:val="0"/>
                <w:sz w:val="21"/>
                <w:szCs w:val="21"/>
                <w:lang/>
              </w:rPr>
              <w:t>其中：中央财政资金</w:t>
            </w:r>
          </w:p>
        </w:tc>
        <w:tc>
          <w:tcPr>
            <w:tcW w:w="1366"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color w:val="000000"/>
                <w:kern w:val="0"/>
                <w:sz w:val="21"/>
                <w:szCs w:val="21"/>
                <w:lang/>
              </w:rPr>
              <w:t>6249</w:t>
            </w:r>
          </w:p>
        </w:tc>
        <w:tc>
          <w:tcPr>
            <w:tcW w:w="1934" w:type="dxa"/>
            <w:gridSpan w:val="3"/>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color w:val="000000"/>
                <w:kern w:val="0"/>
                <w:sz w:val="21"/>
                <w:szCs w:val="21"/>
                <w:lang/>
              </w:rPr>
              <w:t>6249</w:t>
            </w:r>
          </w:p>
        </w:tc>
        <w:tc>
          <w:tcPr>
            <w:tcW w:w="1368"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color w:val="000000"/>
                <w:kern w:val="0"/>
                <w:sz w:val="21"/>
                <w:szCs w:val="21"/>
                <w:lang/>
              </w:rPr>
              <w:t>100.0%</w:t>
            </w:r>
          </w:p>
        </w:tc>
      </w:tr>
      <w:tr w:rsidR="00ED7806" w:rsidTr="00E149E0">
        <w:trPr>
          <w:trHeight w:val="567"/>
          <w:jc w:val="center"/>
        </w:trPr>
        <w:tc>
          <w:tcPr>
            <w:tcW w:w="2574" w:type="dxa"/>
            <w:gridSpan w:val="3"/>
            <w:vMerge/>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1917" w:type="dxa"/>
            <w:vAlign w:val="center"/>
          </w:tcPr>
          <w:p w:rsidR="00ED7806" w:rsidRDefault="00ED7806" w:rsidP="00E149E0">
            <w:pPr>
              <w:widowControl/>
              <w:overflowPunct w:val="0"/>
              <w:autoSpaceDE w:val="0"/>
              <w:adjustRightInd w:val="0"/>
              <w:snapToGrid w:val="0"/>
              <w:spacing w:line="300" w:lineRule="exact"/>
              <w:jc w:val="left"/>
              <w:textAlignment w:val="center"/>
              <w:rPr>
                <w:color w:val="000000"/>
                <w:sz w:val="21"/>
                <w:szCs w:val="21"/>
              </w:rPr>
            </w:pPr>
            <w:r>
              <w:rPr>
                <w:color w:val="000000"/>
                <w:kern w:val="0"/>
                <w:sz w:val="21"/>
                <w:szCs w:val="21"/>
                <w:lang/>
              </w:rPr>
              <w:t xml:space="preserve">    </w:t>
            </w:r>
            <w:r>
              <w:rPr>
                <w:rFonts w:hAnsi="方正仿宋简体"/>
                <w:color w:val="000000"/>
                <w:kern w:val="0"/>
                <w:sz w:val="21"/>
                <w:szCs w:val="21"/>
                <w:lang/>
              </w:rPr>
              <w:t>地方财政资金</w:t>
            </w:r>
          </w:p>
        </w:tc>
        <w:tc>
          <w:tcPr>
            <w:tcW w:w="1366" w:type="dxa"/>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1934" w:type="dxa"/>
            <w:gridSpan w:val="3"/>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1368" w:type="dxa"/>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r>
      <w:tr w:rsidR="00ED7806" w:rsidTr="00E149E0">
        <w:trPr>
          <w:trHeight w:val="567"/>
          <w:jc w:val="center"/>
        </w:trPr>
        <w:tc>
          <w:tcPr>
            <w:tcW w:w="2574" w:type="dxa"/>
            <w:gridSpan w:val="3"/>
            <w:vMerge/>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1917" w:type="dxa"/>
            <w:vAlign w:val="center"/>
          </w:tcPr>
          <w:p w:rsidR="00ED7806" w:rsidRDefault="00ED7806" w:rsidP="00E149E0">
            <w:pPr>
              <w:widowControl/>
              <w:overflowPunct w:val="0"/>
              <w:autoSpaceDE w:val="0"/>
              <w:adjustRightInd w:val="0"/>
              <w:snapToGrid w:val="0"/>
              <w:spacing w:line="300" w:lineRule="exact"/>
              <w:jc w:val="left"/>
              <w:textAlignment w:val="center"/>
              <w:rPr>
                <w:color w:val="000000"/>
                <w:sz w:val="21"/>
                <w:szCs w:val="21"/>
              </w:rPr>
            </w:pPr>
            <w:r>
              <w:rPr>
                <w:color w:val="000000"/>
                <w:kern w:val="0"/>
                <w:sz w:val="21"/>
                <w:szCs w:val="21"/>
                <w:lang/>
              </w:rPr>
              <w:t xml:space="preserve">    </w:t>
            </w:r>
            <w:r>
              <w:rPr>
                <w:rFonts w:hAnsi="方正仿宋简体"/>
                <w:color w:val="000000"/>
                <w:kern w:val="0"/>
                <w:sz w:val="21"/>
                <w:szCs w:val="21"/>
                <w:lang/>
              </w:rPr>
              <w:t>其他资金</w:t>
            </w:r>
          </w:p>
        </w:tc>
        <w:tc>
          <w:tcPr>
            <w:tcW w:w="1366" w:type="dxa"/>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1934" w:type="dxa"/>
            <w:gridSpan w:val="3"/>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1368" w:type="dxa"/>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r>
      <w:tr w:rsidR="00ED7806" w:rsidTr="00E149E0">
        <w:trPr>
          <w:trHeight w:val="567"/>
          <w:jc w:val="center"/>
        </w:trPr>
        <w:tc>
          <w:tcPr>
            <w:tcW w:w="2574" w:type="dxa"/>
            <w:gridSpan w:val="3"/>
            <w:vMerge w:val="restart"/>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资金管理情况</w:t>
            </w:r>
          </w:p>
        </w:tc>
        <w:tc>
          <w:tcPr>
            <w:tcW w:w="1917" w:type="dxa"/>
            <w:vAlign w:val="center"/>
          </w:tcPr>
          <w:p w:rsidR="00ED7806" w:rsidRDefault="00ED7806" w:rsidP="00E149E0">
            <w:pPr>
              <w:widowControl/>
              <w:overflowPunct w:val="0"/>
              <w:autoSpaceDE w:val="0"/>
              <w:adjustRightInd w:val="0"/>
              <w:snapToGrid w:val="0"/>
              <w:spacing w:line="300" w:lineRule="exact"/>
              <w:rPr>
                <w:color w:val="000000"/>
                <w:sz w:val="21"/>
                <w:szCs w:val="21"/>
              </w:rPr>
            </w:pPr>
          </w:p>
        </w:tc>
        <w:tc>
          <w:tcPr>
            <w:tcW w:w="3300" w:type="dxa"/>
            <w:gridSpan w:val="4"/>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情况说明</w:t>
            </w:r>
          </w:p>
        </w:tc>
        <w:tc>
          <w:tcPr>
            <w:tcW w:w="1368"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存在问题和改进措施</w:t>
            </w:r>
          </w:p>
        </w:tc>
      </w:tr>
      <w:tr w:rsidR="00ED7806" w:rsidTr="00E149E0">
        <w:trPr>
          <w:trHeight w:val="567"/>
          <w:jc w:val="center"/>
        </w:trPr>
        <w:tc>
          <w:tcPr>
            <w:tcW w:w="2574" w:type="dxa"/>
            <w:gridSpan w:val="3"/>
            <w:vMerge/>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1917" w:type="dxa"/>
            <w:vAlign w:val="center"/>
          </w:tcPr>
          <w:p w:rsidR="00ED7806" w:rsidRDefault="00ED7806" w:rsidP="00E149E0">
            <w:pPr>
              <w:widowControl/>
              <w:overflowPunct w:val="0"/>
              <w:autoSpaceDE w:val="0"/>
              <w:adjustRightInd w:val="0"/>
              <w:snapToGrid w:val="0"/>
              <w:spacing w:line="300" w:lineRule="exact"/>
              <w:jc w:val="left"/>
              <w:textAlignment w:val="center"/>
              <w:rPr>
                <w:color w:val="000000"/>
                <w:sz w:val="21"/>
                <w:szCs w:val="21"/>
              </w:rPr>
            </w:pPr>
            <w:r>
              <w:rPr>
                <w:rFonts w:hAnsi="方正仿宋简体"/>
                <w:color w:val="000000"/>
                <w:kern w:val="0"/>
                <w:sz w:val="21"/>
                <w:szCs w:val="21"/>
                <w:lang/>
              </w:rPr>
              <w:t>分配科学性</w:t>
            </w:r>
          </w:p>
        </w:tc>
        <w:tc>
          <w:tcPr>
            <w:tcW w:w="3300" w:type="dxa"/>
            <w:gridSpan w:val="4"/>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分配科学</w:t>
            </w:r>
          </w:p>
        </w:tc>
        <w:tc>
          <w:tcPr>
            <w:tcW w:w="1368"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无</w:t>
            </w:r>
          </w:p>
        </w:tc>
      </w:tr>
      <w:tr w:rsidR="00ED7806" w:rsidTr="00E149E0">
        <w:trPr>
          <w:trHeight w:val="567"/>
          <w:jc w:val="center"/>
        </w:trPr>
        <w:tc>
          <w:tcPr>
            <w:tcW w:w="2574" w:type="dxa"/>
            <w:gridSpan w:val="3"/>
            <w:vMerge/>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1917" w:type="dxa"/>
            <w:vAlign w:val="center"/>
          </w:tcPr>
          <w:p w:rsidR="00ED7806" w:rsidRDefault="00ED7806" w:rsidP="00E149E0">
            <w:pPr>
              <w:widowControl/>
              <w:overflowPunct w:val="0"/>
              <w:autoSpaceDE w:val="0"/>
              <w:adjustRightInd w:val="0"/>
              <w:snapToGrid w:val="0"/>
              <w:spacing w:line="300" w:lineRule="exact"/>
              <w:jc w:val="left"/>
              <w:textAlignment w:val="center"/>
              <w:rPr>
                <w:color w:val="000000"/>
                <w:sz w:val="21"/>
                <w:szCs w:val="21"/>
              </w:rPr>
            </w:pPr>
            <w:r>
              <w:rPr>
                <w:rFonts w:hAnsi="方正仿宋简体"/>
                <w:color w:val="000000"/>
                <w:kern w:val="0"/>
                <w:sz w:val="21"/>
                <w:szCs w:val="21"/>
                <w:lang/>
              </w:rPr>
              <w:t>下达及时性</w:t>
            </w:r>
          </w:p>
        </w:tc>
        <w:tc>
          <w:tcPr>
            <w:tcW w:w="3300" w:type="dxa"/>
            <w:gridSpan w:val="4"/>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及时下达</w:t>
            </w:r>
          </w:p>
        </w:tc>
        <w:tc>
          <w:tcPr>
            <w:tcW w:w="1368"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无</w:t>
            </w:r>
          </w:p>
        </w:tc>
      </w:tr>
      <w:tr w:rsidR="00ED7806" w:rsidTr="00E149E0">
        <w:trPr>
          <w:trHeight w:val="567"/>
          <w:jc w:val="center"/>
        </w:trPr>
        <w:tc>
          <w:tcPr>
            <w:tcW w:w="2574" w:type="dxa"/>
            <w:gridSpan w:val="3"/>
            <w:vMerge/>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1917" w:type="dxa"/>
            <w:vAlign w:val="center"/>
          </w:tcPr>
          <w:p w:rsidR="00ED7806" w:rsidRDefault="00ED7806" w:rsidP="00E149E0">
            <w:pPr>
              <w:widowControl/>
              <w:overflowPunct w:val="0"/>
              <w:autoSpaceDE w:val="0"/>
              <w:adjustRightInd w:val="0"/>
              <w:snapToGrid w:val="0"/>
              <w:spacing w:line="300" w:lineRule="exact"/>
              <w:jc w:val="left"/>
              <w:textAlignment w:val="center"/>
              <w:rPr>
                <w:color w:val="000000"/>
                <w:sz w:val="21"/>
                <w:szCs w:val="21"/>
              </w:rPr>
            </w:pPr>
            <w:r>
              <w:rPr>
                <w:rFonts w:hAnsi="方正仿宋简体"/>
                <w:color w:val="000000"/>
                <w:kern w:val="0"/>
                <w:sz w:val="21"/>
                <w:szCs w:val="21"/>
                <w:lang/>
              </w:rPr>
              <w:t>拨付合</w:t>
            </w:r>
            <w:proofErr w:type="gramStart"/>
            <w:r>
              <w:rPr>
                <w:rFonts w:hAnsi="方正仿宋简体"/>
                <w:color w:val="000000"/>
                <w:kern w:val="0"/>
                <w:sz w:val="21"/>
                <w:szCs w:val="21"/>
                <w:lang/>
              </w:rPr>
              <w:t>规</w:t>
            </w:r>
            <w:proofErr w:type="gramEnd"/>
            <w:r>
              <w:rPr>
                <w:rFonts w:hAnsi="方正仿宋简体"/>
                <w:color w:val="000000"/>
                <w:kern w:val="0"/>
                <w:sz w:val="21"/>
                <w:szCs w:val="21"/>
                <w:lang/>
              </w:rPr>
              <w:t>性</w:t>
            </w:r>
          </w:p>
        </w:tc>
        <w:tc>
          <w:tcPr>
            <w:tcW w:w="3300" w:type="dxa"/>
            <w:gridSpan w:val="4"/>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拨付合</w:t>
            </w:r>
            <w:proofErr w:type="gramStart"/>
            <w:r>
              <w:rPr>
                <w:rFonts w:hAnsi="方正仿宋简体"/>
                <w:color w:val="000000"/>
                <w:kern w:val="0"/>
                <w:sz w:val="21"/>
                <w:szCs w:val="21"/>
                <w:lang/>
              </w:rPr>
              <w:t>规</w:t>
            </w:r>
            <w:proofErr w:type="gramEnd"/>
          </w:p>
        </w:tc>
        <w:tc>
          <w:tcPr>
            <w:tcW w:w="1368"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无</w:t>
            </w:r>
          </w:p>
        </w:tc>
      </w:tr>
      <w:tr w:rsidR="00ED7806" w:rsidTr="00E149E0">
        <w:trPr>
          <w:trHeight w:val="567"/>
          <w:jc w:val="center"/>
        </w:trPr>
        <w:tc>
          <w:tcPr>
            <w:tcW w:w="2574" w:type="dxa"/>
            <w:gridSpan w:val="3"/>
            <w:vMerge/>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1917" w:type="dxa"/>
            <w:vAlign w:val="center"/>
          </w:tcPr>
          <w:p w:rsidR="00ED7806" w:rsidRDefault="00ED7806" w:rsidP="00E149E0">
            <w:pPr>
              <w:widowControl/>
              <w:overflowPunct w:val="0"/>
              <w:autoSpaceDE w:val="0"/>
              <w:adjustRightInd w:val="0"/>
              <w:snapToGrid w:val="0"/>
              <w:spacing w:line="300" w:lineRule="exact"/>
              <w:jc w:val="left"/>
              <w:textAlignment w:val="center"/>
              <w:rPr>
                <w:color w:val="000000"/>
                <w:sz w:val="21"/>
                <w:szCs w:val="21"/>
              </w:rPr>
            </w:pPr>
            <w:r>
              <w:rPr>
                <w:rFonts w:hAnsi="方正仿宋简体"/>
                <w:color w:val="000000"/>
                <w:kern w:val="0"/>
                <w:sz w:val="21"/>
                <w:szCs w:val="21"/>
                <w:lang/>
              </w:rPr>
              <w:t>使用规范性</w:t>
            </w:r>
          </w:p>
        </w:tc>
        <w:tc>
          <w:tcPr>
            <w:tcW w:w="3300" w:type="dxa"/>
            <w:gridSpan w:val="4"/>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使用规范</w:t>
            </w:r>
          </w:p>
        </w:tc>
        <w:tc>
          <w:tcPr>
            <w:tcW w:w="1368"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无</w:t>
            </w:r>
          </w:p>
        </w:tc>
      </w:tr>
      <w:tr w:rsidR="00ED7806" w:rsidTr="00E149E0">
        <w:trPr>
          <w:trHeight w:val="567"/>
          <w:jc w:val="center"/>
        </w:trPr>
        <w:tc>
          <w:tcPr>
            <w:tcW w:w="2574" w:type="dxa"/>
            <w:gridSpan w:val="3"/>
            <w:vMerge/>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1917" w:type="dxa"/>
            <w:vAlign w:val="center"/>
          </w:tcPr>
          <w:p w:rsidR="00ED7806" w:rsidRDefault="00ED7806" w:rsidP="00E149E0">
            <w:pPr>
              <w:widowControl/>
              <w:overflowPunct w:val="0"/>
              <w:autoSpaceDE w:val="0"/>
              <w:adjustRightInd w:val="0"/>
              <w:snapToGrid w:val="0"/>
              <w:spacing w:line="300" w:lineRule="exact"/>
              <w:jc w:val="left"/>
              <w:textAlignment w:val="center"/>
              <w:rPr>
                <w:color w:val="000000"/>
                <w:sz w:val="21"/>
                <w:szCs w:val="21"/>
              </w:rPr>
            </w:pPr>
            <w:r>
              <w:rPr>
                <w:rFonts w:hAnsi="方正仿宋简体"/>
                <w:color w:val="000000"/>
                <w:kern w:val="0"/>
                <w:sz w:val="21"/>
                <w:szCs w:val="21"/>
                <w:lang/>
              </w:rPr>
              <w:t>执行准确性</w:t>
            </w:r>
          </w:p>
        </w:tc>
        <w:tc>
          <w:tcPr>
            <w:tcW w:w="3300" w:type="dxa"/>
            <w:gridSpan w:val="4"/>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执行准确</w:t>
            </w:r>
          </w:p>
        </w:tc>
        <w:tc>
          <w:tcPr>
            <w:tcW w:w="1368"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无</w:t>
            </w:r>
          </w:p>
        </w:tc>
      </w:tr>
      <w:tr w:rsidR="00ED7806" w:rsidTr="00E149E0">
        <w:trPr>
          <w:trHeight w:val="567"/>
          <w:jc w:val="center"/>
        </w:trPr>
        <w:tc>
          <w:tcPr>
            <w:tcW w:w="2574" w:type="dxa"/>
            <w:gridSpan w:val="3"/>
            <w:vMerge/>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1917" w:type="dxa"/>
            <w:vAlign w:val="center"/>
          </w:tcPr>
          <w:p w:rsidR="00ED7806" w:rsidRDefault="00ED7806" w:rsidP="00E149E0">
            <w:pPr>
              <w:widowControl/>
              <w:overflowPunct w:val="0"/>
              <w:autoSpaceDE w:val="0"/>
              <w:adjustRightInd w:val="0"/>
              <w:snapToGrid w:val="0"/>
              <w:spacing w:line="300" w:lineRule="exact"/>
              <w:jc w:val="left"/>
              <w:textAlignment w:val="center"/>
              <w:rPr>
                <w:color w:val="000000"/>
                <w:sz w:val="21"/>
                <w:szCs w:val="21"/>
              </w:rPr>
            </w:pPr>
            <w:r>
              <w:rPr>
                <w:rFonts w:hAnsi="方正仿宋简体"/>
                <w:color w:val="000000"/>
                <w:kern w:val="0"/>
                <w:sz w:val="21"/>
                <w:szCs w:val="21"/>
                <w:lang/>
              </w:rPr>
              <w:t>预算绩效管理情况</w:t>
            </w:r>
          </w:p>
        </w:tc>
        <w:tc>
          <w:tcPr>
            <w:tcW w:w="3300" w:type="dxa"/>
            <w:gridSpan w:val="4"/>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绩效指标合格</w:t>
            </w:r>
          </w:p>
        </w:tc>
        <w:tc>
          <w:tcPr>
            <w:tcW w:w="1368"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无</w:t>
            </w:r>
          </w:p>
        </w:tc>
      </w:tr>
      <w:tr w:rsidR="00ED7806" w:rsidTr="00E149E0">
        <w:trPr>
          <w:trHeight w:val="567"/>
          <w:jc w:val="center"/>
        </w:trPr>
        <w:tc>
          <w:tcPr>
            <w:tcW w:w="2574" w:type="dxa"/>
            <w:gridSpan w:val="3"/>
            <w:vMerge/>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1917" w:type="dxa"/>
            <w:vAlign w:val="center"/>
          </w:tcPr>
          <w:p w:rsidR="00ED7806" w:rsidRDefault="00ED7806" w:rsidP="00E149E0">
            <w:pPr>
              <w:widowControl/>
              <w:overflowPunct w:val="0"/>
              <w:autoSpaceDE w:val="0"/>
              <w:adjustRightInd w:val="0"/>
              <w:snapToGrid w:val="0"/>
              <w:spacing w:line="300" w:lineRule="exact"/>
              <w:jc w:val="left"/>
              <w:textAlignment w:val="center"/>
              <w:rPr>
                <w:color w:val="000000"/>
                <w:sz w:val="21"/>
                <w:szCs w:val="21"/>
              </w:rPr>
            </w:pPr>
            <w:r>
              <w:rPr>
                <w:rFonts w:hAnsi="方正仿宋简体"/>
                <w:color w:val="000000"/>
                <w:kern w:val="0"/>
                <w:sz w:val="21"/>
                <w:szCs w:val="21"/>
                <w:lang/>
              </w:rPr>
              <w:t>支出责任履行情况</w:t>
            </w:r>
          </w:p>
        </w:tc>
        <w:tc>
          <w:tcPr>
            <w:tcW w:w="3300" w:type="dxa"/>
            <w:gridSpan w:val="4"/>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及时下达企业</w:t>
            </w:r>
          </w:p>
        </w:tc>
        <w:tc>
          <w:tcPr>
            <w:tcW w:w="1368"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无</w:t>
            </w:r>
          </w:p>
        </w:tc>
      </w:tr>
      <w:tr w:rsidR="00ED7806" w:rsidTr="00E149E0">
        <w:trPr>
          <w:trHeight w:val="567"/>
          <w:jc w:val="center"/>
        </w:trPr>
        <w:tc>
          <w:tcPr>
            <w:tcW w:w="623" w:type="dxa"/>
            <w:vMerge w:val="restart"/>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总体目标完成情况</w:t>
            </w:r>
          </w:p>
        </w:tc>
        <w:tc>
          <w:tcPr>
            <w:tcW w:w="5234" w:type="dxa"/>
            <w:gridSpan w:val="4"/>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总体目标</w:t>
            </w:r>
          </w:p>
        </w:tc>
        <w:tc>
          <w:tcPr>
            <w:tcW w:w="3302" w:type="dxa"/>
            <w:gridSpan w:val="4"/>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全年实际完成情况</w:t>
            </w:r>
          </w:p>
        </w:tc>
      </w:tr>
      <w:tr w:rsidR="00ED7806" w:rsidTr="00E149E0">
        <w:trPr>
          <w:trHeight w:val="567"/>
          <w:jc w:val="center"/>
        </w:trPr>
        <w:tc>
          <w:tcPr>
            <w:tcW w:w="623" w:type="dxa"/>
            <w:vMerge/>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5234" w:type="dxa"/>
            <w:gridSpan w:val="4"/>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支持符合要求的新能源汽车产品推广</w:t>
            </w:r>
          </w:p>
        </w:tc>
        <w:tc>
          <w:tcPr>
            <w:tcW w:w="3302" w:type="dxa"/>
            <w:gridSpan w:val="4"/>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color w:val="000000"/>
                <w:kern w:val="0"/>
                <w:sz w:val="21"/>
                <w:szCs w:val="21"/>
                <w:lang/>
              </w:rPr>
              <w:t>2023</w:t>
            </w:r>
            <w:r>
              <w:rPr>
                <w:rFonts w:hAnsi="方正仿宋简体"/>
                <w:color w:val="000000"/>
                <w:kern w:val="0"/>
                <w:sz w:val="21"/>
                <w:szCs w:val="21"/>
                <w:lang/>
              </w:rPr>
              <w:t>年成都市实现新能源汽车产量</w:t>
            </w:r>
            <w:r>
              <w:rPr>
                <w:color w:val="000000"/>
                <w:kern w:val="0"/>
                <w:sz w:val="21"/>
                <w:szCs w:val="21"/>
                <w:lang/>
              </w:rPr>
              <w:t>8.4</w:t>
            </w:r>
            <w:r>
              <w:rPr>
                <w:rFonts w:hAnsi="方正仿宋简体"/>
                <w:color w:val="000000"/>
                <w:kern w:val="0"/>
                <w:sz w:val="21"/>
                <w:szCs w:val="21"/>
                <w:lang/>
              </w:rPr>
              <w:t>万辆，同比增长</w:t>
            </w:r>
            <w:r>
              <w:rPr>
                <w:color w:val="000000"/>
                <w:kern w:val="0"/>
                <w:sz w:val="21"/>
                <w:szCs w:val="21"/>
                <w:lang/>
              </w:rPr>
              <w:t>117.5%</w:t>
            </w:r>
            <w:r>
              <w:rPr>
                <w:rFonts w:hAnsi="方正仿宋简体"/>
                <w:color w:val="000000"/>
                <w:kern w:val="0"/>
                <w:sz w:val="21"/>
                <w:szCs w:val="21"/>
                <w:lang/>
              </w:rPr>
              <w:t>，推广新能源汽车</w:t>
            </w:r>
            <w:r>
              <w:rPr>
                <w:color w:val="000000"/>
                <w:kern w:val="0"/>
                <w:sz w:val="21"/>
                <w:szCs w:val="21"/>
                <w:lang/>
              </w:rPr>
              <w:t>24.1</w:t>
            </w:r>
            <w:r>
              <w:rPr>
                <w:rFonts w:hAnsi="方正仿宋简体"/>
                <w:color w:val="000000"/>
                <w:kern w:val="0"/>
                <w:sz w:val="21"/>
                <w:szCs w:val="21"/>
                <w:lang/>
              </w:rPr>
              <w:t>万辆，同比增长</w:t>
            </w:r>
            <w:r>
              <w:rPr>
                <w:color w:val="000000"/>
                <w:kern w:val="0"/>
                <w:sz w:val="21"/>
                <w:szCs w:val="21"/>
                <w:lang/>
              </w:rPr>
              <w:t>32.8%</w:t>
            </w:r>
            <w:r>
              <w:rPr>
                <w:rFonts w:hAnsi="方正仿宋简体"/>
                <w:color w:val="000000"/>
                <w:kern w:val="0"/>
                <w:sz w:val="21"/>
                <w:szCs w:val="21"/>
                <w:lang/>
              </w:rPr>
              <w:t>。</w:t>
            </w:r>
          </w:p>
        </w:tc>
      </w:tr>
      <w:tr w:rsidR="00ED7806" w:rsidTr="00E149E0">
        <w:trPr>
          <w:trHeight w:val="567"/>
          <w:jc w:val="center"/>
        </w:trPr>
        <w:tc>
          <w:tcPr>
            <w:tcW w:w="623" w:type="dxa"/>
            <w:vMerge w:val="restart"/>
            <w:textDirection w:val="tbRlV"/>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绩效指标</w:t>
            </w:r>
          </w:p>
        </w:tc>
        <w:tc>
          <w:tcPr>
            <w:tcW w:w="801"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一级</w:t>
            </w:r>
            <w:r>
              <w:rPr>
                <w:color w:val="000000"/>
                <w:kern w:val="0"/>
                <w:sz w:val="21"/>
                <w:szCs w:val="21"/>
                <w:lang/>
              </w:rPr>
              <w:br/>
            </w:r>
            <w:r>
              <w:rPr>
                <w:rFonts w:hAnsi="方正仿宋简体"/>
                <w:color w:val="000000"/>
                <w:kern w:val="0"/>
                <w:sz w:val="21"/>
                <w:szCs w:val="21"/>
                <w:lang/>
              </w:rPr>
              <w:t>指标</w:t>
            </w:r>
          </w:p>
        </w:tc>
        <w:tc>
          <w:tcPr>
            <w:tcW w:w="1150"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二级指标</w:t>
            </w:r>
          </w:p>
        </w:tc>
        <w:tc>
          <w:tcPr>
            <w:tcW w:w="3283" w:type="dxa"/>
            <w:gridSpan w:val="2"/>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三级指标</w:t>
            </w:r>
          </w:p>
        </w:tc>
        <w:tc>
          <w:tcPr>
            <w:tcW w:w="967"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指标值</w:t>
            </w:r>
          </w:p>
        </w:tc>
        <w:tc>
          <w:tcPr>
            <w:tcW w:w="967" w:type="dxa"/>
            <w:gridSpan w:val="2"/>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全年实际完成值</w:t>
            </w:r>
          </w:p>
        </w:tc>
        <w:tc>
          <w:tcPr>
            <w:tcW w:w="1368"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未完成原因和改进措施</w:t>
            </w:r>
          </w:p>
        </w:tc>
      </w:tr>
      <w:tr w:rsidR="00ED7806" w:rsidTr="00E149E0">
        <w:trPr>
          <w:trHeight w:val="567"/>
          <w:jc w:val="center"/>
        </w:trPr>
        <w:tc>
          <w:tcPr>
            <w:tcW w:w="623" w:type="dxa"/>
            <w:vMerge/>
            <w:textDirection w:val="tbRlV"/>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801" w:type="dxa"/>
            <w:vMerge w:val="restart"/>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产</w:t>
            </w:r>
            <w:r>
              <w:rPr>
                <w:color w:val="000000"/>
                <w:kern w:val="0"/>
                <w:sz w:val="21"/>
                <w:szCs w:val="21"/>
                <w:lang/>
              </w:rPr>
              <w:br/>
            </w:r>
            <w:r>
              <w:rPr>
                <w:rFonts w:hAnsi="方正仿宋简体"/>
                <w:color w:val="000000"/>
                <w:kern w:val="0"/>
                <w:sz w:val="21"/>
                <w:szCs w:val="21"/>
                <w:lang/>
              </w:rPr>
              <w:t>出</w:t>
            </w:r>
            <w:r>
              <w:rPr>
                <w:color w:val="000000"/>
                <w:kern w:val="0"/>
                <w:sz w:val="21"/>
                <w:szCs w:val="21"/>
                <w:lang/>
              </w:rPr>
              <w:br/>
            </w:r>
            <w:r>
              <w:rPr>
                <w:rFonts w:hAnsi="方正仿宋简体"/>
                <w:color w:val="000000"/>
                <w:kern w:val="0"/>
                <w:sz w:val="21"/>
                <w:szCs w:val="21"/>
                <w:lang/>
              </w:rPr>
              <w:t>指</w:t>
            </w:r>
            <w:r>
              <w:rPr>
                <w:color w:val="000000"/>
                <w:kern w:val="0"/>
                <w:sz w:val="21"/>
                <w:szCs w:val="21"/>
                <w:lang/>
              </w:rPr>
              <w:br/>
            </w:r>
            <w:r>
              <w:rPr>
                <w:rFonts w:hAnsi="方正仿宋简体"/>
                <w:color w:val="000000"/>
                <w:kern w:val="0"/>
                <w:sz w:val="21"/>
                <w:szCs w:val="21"/>
                <w:lang/>
              </w:rPr>
              <w:t>标</w:t>
            </w:r>
          </w:p>
        </w:tc>
        <w:tc>
          <w:tcPr>
            <w:tcW w:w="1150" w:type="dxa"/>
            <w:vMerge w:val="restart"/>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质量指标</w:t>
            </w:r>
          </w:p>
        </w:tc>
        <w:tc>
          <w:tcPr>
            <w:tcW w:w="3283" w:type="dxa"/>
            <w:gridSpan w:val="2"/>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有运营里程要求车辆满足要求比例</w:t>
            </w:r>
          </w:p>
        </w:tc>
        <w:tc>
          <w:tcPr>
            <w:tcW w:w="967"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color w:val="000000"/>
                <w:kern w:val="0"/>
                <w:sz w:val="21"/>
                <w:szCs w:val="21"/>
                <w:lang/>
              </w:rPr>
              <w:t>100%</w:t>
            </w:r>
          </w:p>
        </w:tc>
        <w:tc>
          <w:tcPr>
            <w:tcW w:w="967" w:type="dxa"/>
            <w:gridSpan w:val="2"/>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color w:val="000000"/>
                <w:kern w:val="0"/>
                <w:sz w:val="21"/>
                <w:szCs w:val="21"/>
                <w:lang/>
              </w:rPr>
              <w:t>100%</w:t>
            </w:r>
          </w:p>
        </w:tc>
        <w:tc>
          <w:tcPr>
            <w:tcW w:w="1368" w:type="dxa"/>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r>
      <w:tr w:rsidR="00ED7806" w:rsidTr="00E149E0">
        <w:trPr>
          <w:trHeight w:val="567"/>
          <w:jc w:val="center"/>
        </w:trPr>
        <w:tc>
          <w:tcPr>
            <w:tcW w:w="623" w:type="dxa"/>
            <w:vMerge/>
            <w:textDirection w:val="tbRlV"/>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801" w:type="dxa"/>
            <w:vMerge/>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1150" w:type="dxa"/>
            <w:vMerge/>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3283" w:type="dxa"/>
            <w:gridSpan w:val="2"/>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车辆纳入新能源汽车国家监管平台比例</w:t>
            </w:r>
          </w:p>
        </w:tc>
        <w:tc>
          <w:tcPr>
            <w:tcW w:w="967"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color w:val="000000"/>
                <w:kern w:val="0"/>
                <w:sz w:val="21"/>
                <w:szCs w:val="21"/>
                <w:lang/>
              </w:rPr>
              <w:t>100%</w:t>
            </w:r>
          </w:p>
        </w:tc>
        <w:tc>
          <w:tcPr>
            <w:tcW w:w="967" w:type="dxa"/>
            <w:gridSpan w:val="2"/>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color w:val="000000"/>
                <w:kern w:val="0"/>
                <w:sz w:val="21"/>
                <w:szCs w:val="21"/>
                <w:lang/>
              </w:rPr>
              <w:t>100%</w:t>
            </w:r>
          </w:p>
        </w:tc>
        <w:tc>
          <w:tcPr>
            <w:tcW w:w="1368" w:type="dxa"/>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r>
      <w:tr w:rsidR="00ED7806" w:rsidTr="00E149E0">
        <w:trPr>
          <w:trHeight w:val="567"/>
          <w:jc w:val="center"/>
        </w:trPr>
        <w:tc>
          <w:tcPr>
            <w:tcW w:w="623" w:type="dxa"/>
            <w:vMerge/>
            <w:textDirection w:val="tbRlV"/>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801" w:type="dxa"/>
            <w:vMerge/>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1150" w:type="dxa"/>
            <w:vMerge/>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3283" w:type="dxa"/>
            <w:gridSpan w:val="2"/>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企业申报材料技术参数与新能源汽车推广应用推荐车型目录参数一致性</w:t>
            </w:r>
          </w:p>
        </w:tc>
        <w:tc>
          <w:tcPr>
            <w:tcW w:w="967"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color w:val="000000"/>
                <w:kern w:val="0"/>
                <w:sz w:val="21"/>
                <w:szCs w:val="21"/>
                <w:lang/>
              </w:rPr>
              <w:t>100%</w:t>
            </w:r>
          </w:p>
        </w:tc>
        <w:tc>
          <w:tcPr>
            <w:tcW w:w="967" w:type="dxa"/>
            <w:gridSpan w:val="2"/>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color w:val="000000"/>
                <w:kern w:val="0"/>
                <w:sz w:val="21"/>
                <w:szCs w:val="21"/>
                <w:lang/>
              </w:rPr>
              <w:t>100%</w:t>
            </w:r>
          </w:p>
        </w:tc>
        <w:tc>
          <w:tcPr>
            <w:tcW w:w="1368" w:type="dxa"/>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r>
      <w:tr w:rsidR="00ED7806" w:rsidTr="00E149E0">
        <w:trPr>
          <w:trHeight w:val="567"/>
          <w:jc w:val="center"/>
        </w:trPr>
        <w:tc>
          <w:tcPr>
            <w:tcW w:w="623" w:type="dxa"/>
            <w:vMerge/>
            <w:textDirection w:val="tbRlV"/>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801" w:type="dxa"/>
            <w:vMerge w:val="restart"/>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效</w:t>
            </w:r>
            <w:r>
              <w:rPr>
                <w:color w:val="000000"/>
                <w:kern w:val="0"/>
                <w:sz w:val="21"/>
                <w:szCs w:val="21"/>
                <w:lang/>
              </w:rPr>
              <w:br/>
            </w:r>
            <w:r>
              <w:rPr>
                <w:rFonts w:hAnsi="方正仿宋简体"/>
                <w:color w:val="000000"/>
                <w:kern w:val="0"/>
                <w:sz w:val="21"/>
                <w:szCs w:val="21"/>
                <w:lang/>
              </w:rPr>
              <w:t>益</w:t>
            </w:r>
            <w:r>
              <w:rPr>
                <w:color w:val="000000"/>
                <w:kern w:val="0"/>
                <w:sz w:val="21"/>
                <w:szCs w:val="21"/>
                <w:lang/>
              </w:rPr>
              <w:br/>
            </w:r>
            <w:r>
              <w:rPr>
                <w:rFonts w:hAnsi="方正仿宋简体"/>
                <w:color w:val="000000"/>
                <w:kern w:val="0"/>
                <w:sz w:val="21"/>
                <w:szCs w:val="21"/>
                <w:lang/>
              </w:rPr>
              <w:t>指</w:t>
            </w:r>
            <w:r>
              <w:rPr>
                <w:color w:val="000000"/>
                <w:kern w:val="0"/>
                <w:sz w:val="21"/>
                <w:szCs w:val="21"/>
                <w:lang/>
              </w:rPr>
              <w:br/>
            </w:r>
            <w:r>
              <w:rPr>
                <w:rFonts w:hAnsi="方正仿宋简体"/>
                <w:color w:val="000000"/>
                <w:kern w:val="0"/>
                <w:sz w:val="21"/>
                <w:szCs w:val="21"/>
                <w:lang/>
              </w:rPr>
              <w:t>标</w:t>
            </w:r>
          </w:p>
        </w:tc>
        <w:tc>
          <w:tcPr>
            <w:tcW w:w="1150"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经济效益</w:t>
            </w:r>
            <w:r>
              <w:rPr>
                <w:color w:val="000000"/>
                <w:kern w:val="0"/>
                <w:sz w:val="21"/>
                <w:szCs w:val="21"/>
                <w:lang/>
              </w:rPr>
              <w:br/>
            </w:r>
            <w:r>
              <w:rPr>
                <w:rFonts w:hAnsi="方正仿宋简体"/>
                <w:color w:val="000000"/>
                <w:kern w:val="0"/>
                <w:sz w:val="21"/>
                <w:szCs w:val="21"/>
                <w:lang/>
              </w:rPr>
              <w:t>指标</w:t>
            </w:r>
          </w:p>
        </w:tc>
        <w:tc>
          <w:tcPr>
            <w:tcW w:w="3283" w:type="dxa"/>
            <w:gridSpan w:val="2"/>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产业低碳化</w:t>
            </w:r>
          </w:p>
        </w:tc>
        <w:tc>
          <w:tcPr>
            <w:tcW w:w="967"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显著提升</w:t>
            </w:r>
          </w:p>
        </w:tc>
        <w:tc>
          <w:tcPr>
            <w:tcW w:w="967" w:type="dxa"/>
            <w:gridSpan w:val="2"/>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显著提升</w:t>
            </w:r>
          </w:p>
        </w:tc>
        <w:tc>
          <w:tcPr>
            <w:tcW w:w="1368" w:type="dxa"/>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r>
      <w:tr w:rsidR="00ED7806" w:rsidTr="00E149E0">
        <w:trPr>
          <w:trHeight w:val="567"/>
          <w:jc w:val="center"/>
        </w:trPr>
        <w:tc>
          <w:tcPr>
            <w:tcW w:w="623" w:type="dxa"/>
            <w:vMerge/>
            <w:textDirection w:val="tbRlV"/>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801" w:type="dxa"/>
            <w:vMerge/>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1150"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社会效益</w:t>
            </w:r>
            <w:r>
              <w:rPr>
                <w:color w:val="000000"/>
                <w:kern w:val="0"/>
                <w:sz w:val="21"/>
                <w:szCs w:val="21"/>
                <w:lang/>
              </w:rPr>
              <w:br/>
            </w:r>
            <w:r>
              <w:rPr>
                <w:rFonts w:hAnsi="方正仿宋简体"/>
                <w:color w:val="000000"/>
                <w:kern w:val="0"/>
                <w:sz w:val="21"/>
                <w:szCs w:val="21"/>
                <w:lang/>
              </w:rPr>
              <w:t>指标</w:t>
            </w:r>
          </w:p>
        </w:tc>
        <w:tc>
          <w:tcPr>
            <w:tcW w:w="3283" w:type="dxa"/>
            <w:gridSpan w:val="2"/>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资源节约</w:t>
            </w:r>
          </w:p>
        </w:tc>
        <w:tc>
          <w:tcPr>
            <w:tcW w:w="967"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显著提升</w:t>
            </w:r>
          </w:p>
        </w:tc>
        <w:tc>
          <w:tcPr>
            <w:tcW w:w="967" w:type="dxa"/>
            <w:gridSpan w:val="2"/>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显著提升</w:t>
            </w:r>
          </w:p>
        </w:tc>
        <w:tc>
          <w:tcPr>
            <w:tcW w:w="1368" w:type="dxa"/>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r>
      <w:tr w:rsidR="00ED7806" w:rsidTr="00E149E0">
        <w:trPr>
          <w:trHeight w:val="567"/>
          <w:jc w:val="center"/>
        </w:trPr>
        <w:tc>
          <w:tcPr>
            <w:tcW w:w="623" w:type="dxa"/>
            <w:vMerge/>
            <w:textDirection w:val="tbRlV"/>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801" w:type="dxa"/>
            <w:vMerge/>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1150"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生态效益</w:t>
            </w:r>
            <w:r>
              <w:rPr>
                <w:color w:val="000000"/>
                <w:kern w:val="0"/>
                <w:sz w:val="21"/>
                <w:szCs w:val="21"/>
                <w:lang/>
              </w:rPr>
              <w:br/>
            </w:r>
            <w:r>
              <w:rPr>
                <w:rFonts w:hAnsi="方正仿宋简体"/>
                <w:color w:val="000000"/>
                <w:kern w:val="0"/>
                <w:sz w:val="21"/>
                <w:szCs w:val="21"/>
                <w:lang/>
              </w:rPr>
              <w:t>指标</w:t>
            </w:r>
          </w:p>
        </w:tc>
        <w:tc>
          <w:tcPr>
            <w:tcW w:w="3283" w:type="dxa"/>
            <w:gridSpan w:val="2"/>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节能减排效果</w:t>
            </w:r>
          </w:p>
        </w:tc>
        <w:tc>
          <w:tcPr>
            <w:tcW w:w="967"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有所提升</w:t>
            </w:r>
          </w:p>
        </w:tc>
        <w:tc>
          <w:tcPr>
            <w:tcW w:w="967" w:type="dxa"/>
            <w:gridSpan w:val="2"/>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有所提升</w:t>
            </w:r>
          </w:p>
        </w:tc>
        <w:tc>
          <w:tcPr>
            <w:tcW w:w="1368" w:type="dxa"/>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r>
      <w:tr w:rsidR="00ED7806" w:rsidTr="00E149E0">
        <w:trPr>
          <w:trHeight w:val="1098"/>
          <w:jc w:val="center"/>
        </w:trPr>
        <w:tc>
          <w:tcPr>
            <w:tcW w:w="623" w:type="dxa"/>
            <w:vMerge/>
            <w:textDirection w:val="tbRlV"/>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c>
          <w:tcPr>
            <w:tcW w:w="801"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满意度指标</w:t>
            </w:r>
          </w:p>
        </w:tc>
        <w:tc>
          <w:tcPr>
            <w:tcW w:w="1150"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服务对象</w:t>
            </w:r>
            <w:r>
              <w:rPr>
                <w:color w:val="000000"/>
                <w:kern w:val="0"/>
                <w:sz w:val="21"/>
                <w:szCs w:val="21"/>
                <w:lang/>
              </w:rPr>
              <w:br/>
            </w:r>
            <w:r>
              <w:rPr>
                <w:rFonts w:hAnsi="方正仿宋简体"/>
                <w:color w:val="000000"/>
                <w:kern w:val="0"/>
                <w:sz w:val="21"/>
                <w:szCs w:val="21"/>
                <w:lang/>
              </w:rPr>
              <w:t>满意度指标</w:t>
            </w:r>
          </w:p>
        </w:tc>
        <w:tc>
          <w:tcPr>
            <w:tcW w:w="3283" w:type="dxa"/>
            <w:gridSpan w:val="2"/>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收益企业、群众满意度</w:t>
            </w:r>
          </w:p>
        </w:tc>
        <w:tc>
          <w:tcPr>
            <w:tcW w:w="967"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color w:val="000000"/>
                <w:kern w:val="0"/>
                <w:sz w:val="21"/>
                <w:szCs w:val="21"/>
                <w:lang/>
              </w:rPr>
              <w:t>≥90%</w:t>
            </w:r>
          </w:p>
        </w:tc>
        <w:tc>
          <w:tcPr>
            <w:tcW w:w="967" w:type="dxa"/>
            <w:gridSpan w:val="2"/>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color w:val="000000"/>
                <w:kern w:val="0"/>
                <w:sz w:val="21"/>
                <w:szCs w:val="21"/>
                <w:lang/>
              </w:rPr>
              <w:t>100%</w:t>
            </w:r>
          </w:p>
        </w:tc>
        <w:tc>
          <w:tcPr>
            <w:tcW w:w="1368" w:type="dxa"/>
            <w:vAlign w:val="center"/>
          </w:tcPr>
          <w:p w:rsidR="00ED7806" w:rsidRDefault="00ED7806" w:rsidP="00E149E0">
            <w:pPr>
              <w:widowControl/>
              <w:overflowPunct w:val="0"/>
              <w:autoSpaceDE w:val="0"/>
              <w:adjustRightInd w:val="0"/>
              <w:snapToGrid w:val="0"/>
              <w:spacing w:line="300" w:lineRule="exact"/>
              <w:jc w:val="center"/>
              <w:rPr>
                <w:color w:val="000000"/>
                <w:sz w:val="21"/>
                <w:szCs w:val="21"/>
              </w:rPr>
            </w:pPr>
          </w:p>
        </w:tc>
      </w:tr>
      <w:tr w:rsidR="00ED7806" w:rsidTr="00E149E0">
        <w:trPr>
          <w:trHeight w:val="567"/>
          <w:jc w:val="center"/>
        </w:trPr>
        <w:tc>
          <w:tcPr>
            <w:tcW w:w="623" w:type="dxa"/>
            <w:vAlign w:val="center"/>
          </w:tcPr>
          <w:p w:rsidR="00ED7806" w:rsidRDefault="00ED7806" w:rsidP="00E149E0">
            <w:pPr>
              <w:widowControl/>
              <w:overflowPunct w:val="0"/>
              <w:autoSpaceDE w:val="0"/>
              <w:adjustRightInd w:val="0"/>
              <w:snapToGrid w:val="0"/>
              <w:spacing w:line="300" w:lineRule="exact"/>
              <w:jc w:val="center"/>
              <w:textAlignment w:val="center"/>
              <w:rPr>
                <w:color w:val="000000"/>
                <w:sz w:val="21"/>
                <w:szCs w:val="21"/>
              </w:rPr>
            </w:pPr>
            <w:r>
              <w:rPr>
                <w:rFonts w:hAnsi="方正仿宋简体"/>
                <w:color w:val="000000"/>
                <w:kern w:val="0"/>
                <w:sz w:val="21"/>
                <w:szCs w:val="21"/>
                <w:lang/>
              </w:rPr>
              <w:t>说明</w:t>
            </w:r>
          </w:p>
        </w:tc>
        <w:tc>
          <w:tcPr>
            <w:tcW w:w="8536" w:type="dxa"/>
            <w:gridSpan w:val="8"/>
            <w:vAlign w:val="center"/>
          </w:tcPr>
          <w:p w:rsidR="00ED7806" w:rsidRDefault="00ED7806" w:rsidP="00E149E0">
            <w:pPr>
              <w:widowControl/>
              <w:overflowPunct w:val="0"/>
              <w:autoSpaceDE w:val="0"/>
              <w:adjustRightInd w:val="0"/>
              <w:snapToGrid w:val="0"/>
              <w:spacing w:line="300" w:lineRule="exact"/>
              <w:jc w:val="left"/>
              <w:textAlignment w:val="center"/>
              <w:rPr>
                <w:color w:val="000000"/>
                <w:sz w:val="21"/>
                <w:szCs w:val="21"/>
              </w:rPr>
            </w:pPr>
            <w:r>
              <w:rPr>
                <w:rFonts w:hAnsi="方正仿宋简体"/>
                <w:color w:val="000000"/>
                <w:kern w:val="0"/>
                <w:sz w:val="21"/>
                <w:szCs w:val="21"/>
                <w:lang/>
              </w:rPr>
              <w:t>无</w:t>
            </w:r>
          </w:p>
        </w:tc>
      </w:tr>
    </w:tbl>
    <w:p w:rsidR="00ED7806" w:rsidRDefault="00ED7806" w:rsidP="00ED7806">
      <w:pPr>
        <w:adjustRightInd w:val="0"/>
        <w:snapToGrid w:val="0"/>
        <w:spacing w:beforeLines="20"/>
        <w:rPr>
          <w:rFonts w:eastAsia="方正楷体简体"/>
          <w:sz w:val="24"/>
          <w:szCs w:val="24"/>
        </w:rPr>
      </w:pPr>
      <w:r>
        <w:rPr>
          <w:rFonts w:eastAsia="方正楷体简体"/>
          <w:sz w:val="24"/>
          <w:szCs w:val="24"/>
        </w:rPr>
        <w:t>注：</w:t>
      </w:r>
      <w:r>
        <w:rPr>
          <w:rFonts w:eastAsia="方正楷体简体"/>
          <w:sz w:val="24"/>
          <w:szCs w:val="24"/>
        </w:rPr>
        <w:t>1</w:t>
      </w:r>
      <w:r>
        <w:rPr>
          <w:rFonts w:cs="仿宋_GB2312" w:hint="eastAsia"/>
          <w:color w:val="000000"/>
          <w:spacing w:val="15"/>
          <w:sz w:val="24"/>
          <w:szCs w:val="24"/>
        </w:rPr>
        <w:t>．</w:t>
      </w:r>
      <w:r>
        <w:rPr>
          <w:rFonts w:eastAsia="方正楷体简体"/>
          <w:sz w:val="24"/>
          <w:szCs w:val="24"/>
        </w:rPr>
        <w:t>资金使用单位按项目绩效目标填报，主管部门汇总时按区域绩效目标填报。</w:t>
      </w:r>
    </w:p>
    <w:p w:rsidR="00ED7806" w:rsidRDefault="00ED7806" w:rsidP="00ED7806">
      <w:pPr>
        <w:adjustRightInd w:val="0"/>
        <w:snapToGrid w:val="0"/>
        <w:ind w:leftChars="148" w:left="834" w:hangingChars="150" w:hanging="360"/>
        <w:rPr>
          <w:rFonts w:eastAsia="方正楷体简体"/>
          <w:sz w:val="24"/>
          <w:szCs w:val="24"/>
        </w:rPr>
      </w:pPr>
      <w:r>
        <w:rPr>
          <w:rFonts w:eastAsia="方正楷体简体"/>
          <w:sz w:val="24"/>
          <w:szCs w:val="24"/>
        </w:rPr>
        <w:t>2</w:t>
      </w:r>
      <w:r>
        <w:rPr>
          <w:rFonts w:cs="仿宋_GB2312" w:hint="eastAsia"/>
          <w:color w:val="000000"/>
          <w:spacing w:val="15"/>
          <w:sz w:val="24"/>
          <w:szCs w:val="24"/>
        </w:rPr>
        <w:t>．</w:t>
      </w:r>
      <w:r>
        <w:rPr>
          <w:rFonts w:eastAsia="方正楷体简体"/>
          <w:sz w:val="24"/>
          <w:szCs w:val="24"/>
        </w:rPr>
        <w:t>其他资金包括与中央财政资金、地方财政资金共同投入到同一项目的自有资金、社会资金，以及以前年度的结转结余资金等</w:t>
      </w:r>
      <w:r>
        <w:rPr>
          <w:rFonts w:eastAsia="方正楷体简体" w:hint="eastAsia"/>
          <w:sz w:val="24"/>
          <w:szCs w:val="24"/>
        </w:rPr>
        <w:t>。</w:t>
      </w:r>
    </w:p>
    <w:p w:rsidR="00ED7806" w:rsidRDefault="00ED7806" w:rsidP="00ED7806">
      <w:pPr>
        <w:topLinePunct/>
        <w:adjustRightInd w:val="0"/>
        <w:snapToGrid w:val="0"/>
        <w:ind w:firstLineChars="200" w:firstLine="480"/>
        <w:rPr>
          <w:rFonts w:eastAsia="方正楷体简体"/>
          <w:color w:val="000000"/>
          <w:sz w:val="24"/>
          <w:szCs w:val="24"/>
        </w:rPr>
      </w:pPr>
      <w:r>
        <w:rPr>
          <w:rFonts w:eastAsia="方正楷体简体"/>
          <w:sz w:val="24"/>
          <w:szCs w:val="24"/>
        </w:rPr>
        <w:t>3</w:t>
      </w:r>
      <w:r>
        <w:rPr>
          <w:rFonts w:cs="仿宋_GB2312" w:hint="eastAsia"/>
          <w:color w:val="000000"/>
          <w:spacing w:val="15"/>
          <w:sz w:val="24"/>
          <w:szCs w:val="24"/>
        </w:rPr>
        <w:t>．</w:t>
      </w:r>
      <w:r>
        <w:rPr>
          <w:rFonts w:eastAsia="方正楷体简体"/>
          <w:sz w:val="24"/>
          <w:szCs w:val="24"/>
        </w:rPr>
        <w:t>全年执行数是指按照国库集中支付制度要求所形成的实际支出。</w:t>
      </w:r>
    </w:p>
    <w:p w:rsidR="00ED7806" w:rsidRDefault="00ED7806" w:rsidP="00ED7806">
      <w:pPr>
        <w:overflowPunct w:val="0"/>
        <w:adjustRightInd w:val="0"/>
        <w:snapToGrid w:val="0"/>
        <w:spacing w:line="600" w:lineRule="exact"/>
        <w:ind w:firstLineChars="200" w:firstLine="640"/>
      </w:pPr>
    </w:p>
    <w:p w:rsidR="00050B72" w:rsidRPr="00ED7806" w:rsidRDefault="00050B72"/>
    <w:sectPr w:rsidR="00050B72" w:rsidRPr="00ED7806" w:rsidSect="007537A1">
      <w:pgSz w:w="11906" w:h="16838"/>
      <w:pgMar w:top="2098" w:right="1474" w:bottom="1984" w:left="1587" w:header="851" w:footer="992" w:gutter="0"/>
      <w:cols w:space="0"/>
      <w:docGrid w:type="lines" w:linePitch="31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7806"/>
    <w:rsid w:val="00050B72"/>
    <w:rsid w:val="00ED78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806"/>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509</Characters>
  <Application>Microsoft Office Word</Application>
  <DocSecurity>0</DocSecurity>
  <Lines>28</Lines>
  <Paragraphs>28</Paragraphs>
  <ScaleCrop>false</ScaleCrop>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2024-06-25T06:24:00Z</dcterms:created>
  <dcterms:modified xsi:type="dcterms:W3CDTF">2024-06-25T06:24:00Z</dcterms:modified>
</cp:coreProperties>
</file>