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F66" w:rsidRPr="005D2ABC" w:rsidRDefault="003B2F66" w:rsidP="003B2F66">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b/>
          <w:bCs/>
          <w:kern w:val="0"/>
          <w:sz w:val="32"/>
          <w:szCs w:val="32"/>
        </w:rPr>
        <w:t>附件</w:t>
      </w:r>
      <w:r w:rsidRPr="005D2ABC">
        <w:rPr>
          <w:rFonts w:ascii="Times New Roman" w:eastAsia="仿宋_GB2312" w:hAnsi="Times New Roman" w:cs="Times New Roman" w:hint="eastAsia"/>
          <w:b/>
          <w:bCs/>
          <w:kern w:val="0"/>
          <w:sz w:val="32"/>
          <w:szCs w:val="32"/>
        </w:rPr>
        <w:t>6</w:t>
      </w:r>
    </w:p>
    <w:p w:rsidR="003B2F66" w:rsidRPr="005D2ABC" w:rsidRDefault="003B2F66" w:rsidP="003B2F66">
      <w:pPr>
        <w:spacing w:line="700" w:lineRule="exact"/>
        <w:jc w:val="center"/>
        <w:rPr>
          <w:rFonts w:ascii="宋体" w:hAnsi="宋体"/>
          <w:b/>
          <w:bCs/>
          <w:sz w:val="44"/>
          <w:szCs w:val="44"/>
        </w:rPr>
      </w:pPr>
      <w:proofErr w:type="gramStart"/>
      <w:r w:rsidRPr="005D2ABC">
        <w:rPr>
          <w:rFonts w:ascii="宋体" w:hAnsi="宋体"/>
          <w:b/>
          <w:bCs/>
          <w:sz w:val="44"/>
          <w:szCs w:val="44"/>
        </w:rPr>
        <w:t>子基金合规</w:t>
      </w:r>
      <w:proofErr w:type="gramEnd"/>
      <w:r w:rsidRPr="005D2ABC">
        <w:rPr>
          <w:rFonts w:ascii="宋体" w:hAnsi="宋体"/>
          <w:b/>
          <w:bCs/>
          <w:sz w:val="44"/>
          <w:szCs w:val="44"/>
        </w:rPr>
        <w:t>性自查表</w:t>
      </w:r>
    </w:p>
    <w:p w:rsidR="003B2F66" w:rsidRPr="005D2ABC" w:rsidRDefault="003B2F66" w:rsidP="003B2F66">
      <w:pPr>
        <w:spacing w:line="590" w:lineRule="exact"/>
        <w:rPr>
          <w:rFonts w:ascii="仿宋_GB2312" w:eastAsia="仿宋_GB2312" w:hAnsi="仿宋"/>
          <w:sz w:val="27"/>
          <w:szCs w:val="27"/>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4A0" w:firstRow="1" w:lastRow="0" w:firstColumn="1" w:lastColumn="0" w:noHBand="0" w:noVBand="1"/>
      </w:tblPr>
      <w:tblGrid>
        <w:gridCol w:w="1242"/>
        <w:gridCol w:w="5274"/>
        <w:gridCol w:w="639"/>
        <w:gridCol w:w="1080"/>
      </w:tblGrid>
      <w:tr w:rsidR="003B2F66" w:rsidRPr="005D2ABC" w:rsidTr="001158DB">
        <w:trPr>
          <w:jc w:val="center"/>
        </w:trPr>
        <w:tc>
          <w:tcPr>
            <w:tcW w:w="3956" w:type="pct"/>
            <w:gridSpan w:val="2"/>
            <w:tcMar>
              <w:top w:w="52" w:type="dxa"/>
              <w:left w:w="52" w:type="dxa"/>
              <w:bottom w:w="52" w:type="dxa"/>
              <w:right w:w="52" w:type="dxa"/>
            </w:tcMar>
            <w:vAlign w:val="center"/>
          </w:tcPr>
          <w:p w:rsidR="003B2F66" w:rsidRPr="005D2ABC" w:rsidRDefault="003B2F66" w:rsidP="001158DB">
            <w:pPr>
              <w:pStyle w:val="tabletrtdany"/>
              <w:jc w:val="center"/>
              <w:rPr>
                <w:rFonts w:ascii="黑体" w:eastAsia="黑体" w:hAnsi="黑体" w:cs="Times New Roman"/>
                <w:b/>
                <w:sz w:val="22"/>
              </w:rPr>
            </w:pPr>
            <w:r w:rsidRPr="005D2ABC">
              <w:rPr>
                <w:rFonts w:ascii="黑体" w:eastAsia="黑体" w:hAnsi="黑体" w:cs="Times New Roman"/>
                <w:b/>
                <w:sz w:val="22"/>
              </w:rPr>
              <w:t>项目</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黑体" w:eastAsia="黑体" w:hAnsi="黑体" w:cs="Times New Roman"/>
                <w:b/>
                <w:sz w:val="22"/>
              </w:rPr>
            </w:pPr>
            <w:r w:rsidRPr="005D2ABC">
              <w:rPr>
                <w:rFonts w:ascii="黑体" w:eastAsia="黑体" w:hAnsi="黑体" w:cs="Times New Roman"/>
                <w:b/>
                <w:sz w:val="22"/>
              </w:rPr>
              <w:t>是否符合</w:t>
            </w:r>
          </w:p>
        </w:tc>
        <w:tc>
          <w:tcPr>
            <w:tcW w:w="655" w:type="pct"/>
            <w:tcMar>
              <w:top w:w="52" w:type="dxa"/>
              <w:left w:w="52" w:type="dxa"/>
              <w:bottom w:w="52" w:type="dxa"/>
              <w:right w:w="52" w:type="dxa"/>
            </w:tcMar>
            <w:vAlign w:val="center"/>
          </w:tcPr>
          <w:p w:rsidR="003B2F66" w:rsidRPr="005D2ABC" w:rsidRDefault="003B2F66" w:rsidP="001158DB">
            <w:pPr>
              <w:pStyle w:val="tabletrtdany"/>
              <w:jc w:val="center"/>
              <w:rPr>
                <w:rFonts w:ascii="黑体" w:eastAsia="黑体" w:hAnsi="黑体" w:cs="Times New Roman"/>
                <w:b/>
                <w:sz w:val="22"/>
              </w:rPr>
            </w:pPr>
            <w:r w:rsidRPr="005D2ABC">
              <w:rPr>
                <w:rFonts w:ascii="黑体" w:eastAsia="黑体" w:hAnsi="黑体" w:cs="Times New Roman"/>
                <w:b/>
                <w:sz w:val="22"/>
              </w:rPr>
              <w:t>备注</w:t>
            </w:r>
          </w:p>
        </w:tc>
      </w:tr>
      <w:tr w:rsidR="003B2F66" w:rsidRPr="005D2ABC" w:rsidTr="001158DB">
        <w:trPr>
          <w:jc w:val="center"/>
        </w:trPr>
        <w:tc>
          <w:tcPr>
            <w:tcW w:w="5000" w:type="pct"/>
            <w:gridSpan w:val="4"/>
            <w:tcMar>
              <w:top w:w="52" w:type="dxa"/>
              <w:left w:w="52" w:type="dxa"/>
              <w:bottom w:w="52" w:type="dxa"/>
              <w:right w:w="52" w:type="dxa"/>
            </w:tcMar>
            <w:vAlign w:val="center"/>
          </w:tcPr>
          <w:p w:rsidR="003B2F66" w:rsidRPr="005D2ABC" w:rsidRDefault="003B2F66" w:rsidP="001158DB">
            <w:pPr>
              <w:pStyle w:val="tabletrtdany"/>
              <w:rPr>
                <w:rFonts w:ascii="黑体" w:eastAsia="黑体" w:hAnsi="黑体" w:cs="Times New Roman"/>
                <w:b/>
                <w:bCs/>
                <w:sz w:val="22"/>
              </w:rPr>
            </w:pPr>
            <w:r w:rsidRPr="005D2ABC">
              <w:rPr>
                <w:rFonts w:ascii="黑体" w:eastAsia="黑体" w:hAnsi="黑体" w:cs="Times New Roman" w:hint="eastAsia"/>
                <w:b/>
                <w:bCs/>
                <w:sz w:val="22"/>
              </w:rPr>
              <w:t>一</w:t>
            </w:r>
            <w:r w:rsidRPr="005D2ABC">
              <w:rPr>
                <w:rFonts w:ascii="黑体" w:eastAsia="黑体" w:hAnsi="黑体" w:cs="Times New Roman"/>
                <w:b/>
                <w:bCs/>
                <w:sz w:val="22"/>
              </w:rPr>
              <w:t>、</w:t>
            </w:r>
            <w:proofErr w:type="gramStart"/>
            <w:r w:rsidRPr="005D2ABC">
              <w:rPr>
                <w:rFonts w:ascii="黑体" w:eastAsia="黑体" w:hAnsi="黑体" w:cs="Times New Roman"/>
                <w:b/>
                <w:bCs/>
                <w:sz w:val="22"/>
              </w:rPr>
              <w:t>子基金</w:t>
            </w:r>
            <w:proofErr w:type="gramEnd"/>
            <w:r w:rsidRPr="005D2ABC">
              <w:rPr>
                <w:rFonts w:ascii="黑体" w:eastAsia="黑体" w:hAnsi="黑体" w:cs="Times New Roman" w:hint="eastAsia"/>
                <w:b/>
                <w:bCs/>
                <w:sz w:val="22"/>
              </w:rPr>
              <w:t>管理</w:t>
            </w:r>
            <w:r w:rsidRPr="005D2ABC">
              <w:rPr>
                <w:rFonts w:ascii="黑体" w:eastAsia="黑体" w:hAnsi="黑体" w:cs="Times New Roman"/>
                <w:b/>
                <w:bCs/>
                <w:sz w:val="22"/>
              </w:rPr>
              <w:t>机构应符合以下条件：</w:t>
            </w:r>
          </w:p>
        </w:tc>
      </w:tr>
      <w:tr w:rsidR="003B2F66" w:rsidRPr="005D2ABC" w:rsidTr="001158DB">
        <w:trPr>
          <w:jc w:val="center"/>
        </w:trPr>
        <w:tc>
          <w:tcPr>
            <w:tcW w:w="754"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实缴资本</w:t>
            </w:r>
          </w:p>
        </w:tc>
        <w:tc>
          <w:tcPr>
            <w:tcW w:w="3201" w:type="pct"/>
            <w:tcMar>
              <w:top w:w="52" w:type="dxa"/>
              <w:left w:w="52" w:type="dxa"/>
              <w:bottom w:w="52" w:type="dxa"/>
              <w:right w:w="52" w:type="dxa"/>
            </w:tcMar>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实缴注册资本不低于1</w:t>
            </w:r>
            <w:r w:rsidRPr="005D2ABC">
              <w:rPr>
                <w:rFonts w:ascii="仿宋_GB2312" w:eastAsia="仿宋_GB2312" w:hAnsi="仿宋" w:cs="Times New Roman"/>
                <w:bCs/>
                <w:sz w:val="22"/>
              </w:rPr>
              <w:t>0</w:t>
            </w:r>
            <w:r w:rsidRPr="005D2ABC">
              <w:rPr>
                <w:rFonts w:ascii="仿宋_GB2312" w:eastAsia="仿宋_GB2312" w:hAnsi="仿宋" w:cs="Times New Roman" w:hint="eastAsia"/>
                <w:bCs/>
                <w:sz w:val="22"/>
              </w:rPr>
              <w:t>00万元人民币</w:t>
            </w:r>
            <w:r w:rsidRPr="005D2ABC">
              <w:rPr>
                <w:rFonts w:ascii="仿宋_GB2312" w:eastAsia="仿宋_GB2312" w:hAnsi="仿宋" w:cs="Times New Roman"/>
                <w:bCs/>
                <w:sz w:val="22"/>
              </w:rPr>
              <w:t>（</w:t>
            </w:r>
            <w:r w:rsidRPr="005D2ABC">
              <w:rPr>
                <w:rFonts w:ascii="仿宋_GB2312" w:eastAsia="仿宋_GB2312" w:hAnsi="仿宋" w:cs="Times New Roman" w:hint="eastAsia"/>
                <w:bCs/>
                <w:sz w:val="22"/>
              </w:rPr>
              <w:t>若不满足</w:t>
            </w:r>
            <w:r w:rsidRPr="005D2ABC">
              <w:rPr>
                <w:rFonts w:ascii="仿宋_GB2312" w:eastAsia="仿宋_GB2312" w:hAnsi="仿宋" w:cs="Times New Roman"/>
                <w:bCs/>
                <w:sz w:val="22"/>
              </w:rPr>
              <w:t>，</w:t>
            </w:r>
            <w:r w:rsidRPr="005D2ABC">
              <w:rPr>
                <w:rFonts w:ascii="仿宋_GB2312" w:eastAsia="仿宋_GB2312" w:hAnsi="仿宋" w:cs="Times New Roman" w:hint="eastAsia"/>
                <w:bCs/>
                <w:sz w:val="22"/>
              </w:rPr>
              <w:t>应提供限期整改承诺</w:t>
            </w:r>
            <w:r w:rsidRPr="005D2ABC">
              <w:rPr>
                <w:rFonts w:ascii="仿宋_GB2312" w:eastAsia="仿宋_GB2312" w:hAnsi="仿宋" w:cs="Times New Roman"/>
                <w:bCs/>
                <w:sz w:val="22"/>
              </w:rPr>
              <w:t>）</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754"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管理资质</w:t>
            </w:r>
          </w:p>
        </w:tc>
        <w:tc>
          <w:tcPr>
            <w:tcW w:w="3201" w:type="pct"/>
            <w:tcMar>
              <w:top w:w="52" w:type="dxa"/>
              <w:left w:w="52" w:type="dxa"/>
              <w:bottom w:w="52" w:type="dxa"/>
              <w:right w:w="52" w:type="dxa"/>
            </w:tcMar>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应在中</w:t>
            </w:r>
            <w:proofErr w:type="gramStart"/>
            <w:r w:rsidRPr="005D2ABC">
              <w:rPr>
                <w:rFonts w:ascii="仿宋_GB2312" w:eastAsia="仿宋_GB2312" w:hAnsi="仿宋" w:cs="Times New Roman" w:hint="eastAsia"/>
                <w:bCs/>
                <w:sz w:val="22"/>
              </w:rPr>
              <w:t>基协登记</w:t>
            </w:r>
            <w:proofErr w:type="gramEnd"/>
            <w:r w:rsidRPr="005D2ABC">
              <w:rPr>
                <w:rFonts w:ascii="仿宋_GB2312" w:eastAsia="仿宋_GB2312" w:hAnsi="仿宋" w:cs="Times New Roman" w:hint="eastAsia"/>
                <w:bCs/>
                <w:sz w:val="22"/>
              </w:rPr>
              <w:t>备案</w:t>
            </w:r>
            <w:r w:rsidRPr="005D2ABC">
              <w:rPr>
                <w:rFonts w:ascii="仿宋_GB2312" w:eastAsia="仿宋_GB2312" w:hAnsi="仿宋" w:cs="Times New Roman"/>
                <w:bCs/>
                <w:sz w:val="22"/>
              </w:rPr>
              <w:t>（</w:t>
            </w:r>
            <w:r w:rsidRPr="005D2ABC">
              <w:rPr>
                <w:rFonts w:ascii="仿宋_GB2312" w:eastAsia="仿宋_GB2312" w:hAnsi="仿宋" w:cs="Times New Roman" w:hint="eastAsia"/>
                <w:bCs/>
                <w:sz w:val="22"/>
              </w:rPr>
              <w:t>若不满足</w:t>
            </w:r>
            <w:r w:rsidRPr="005D2ABC">
              <w:rPr>
                <w:rFonts w:ascii="仿宋_GB2312" w:eastAsia="仿宋_GB2312" w:hAnsi="仿宋" w:cs="Times New Roman"/>
                <w:bCs/>
                <w:sz w:val="22"/>
              </w:rPr>
              <w:t>，</w:t>
            </w:r>
            <w:r w:rsidRPr="005D2ABC">
              <w:rPr>
                <w:rFonts w:ascii="仿宋_GB2312" w:eastAsia="仿宋_GB2312" w:hAnsi="仿宋" w:cs="Times New Roman" w:hint="eastAsia"/>
                <w:bCs/>
                <w:sz w:val="22"/>
              </w:rPr>
              <w:t>应提供限期整改承诺</w:t>
            </w:r>
            <w:r w:rsidRPr="005D2ABC">
              <w:rPr>
                <w:rFonts w:ascii="仿宋_GB2312" w:eastAsia="仿宋_GB2312" w:hAnsi="仿宋" w:cs="Times New Roman"/>
                <w:bCs/>
                <w:sz w:val="22"/>
              </w:rPr>
              <w:t>）</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p>
        </w:tc>
        <w:tc>
          <w:tcPr>
            <w:tcW w:w="655" w:type="pct"/>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p>
        </w:tc>
      </w:tr>
      <w:tr w:rsidR="003B2F66" w:rsidRPr="005D2ABC" w:rsidTr="001158DB">
        <w:trPr>
          <w:jc w:val="center"/>
        </w:trPr>
        <w:tc>
          <w:tcPr>
            <w:tcW w:w="754" w:type="pct"/>
            <w:vMerge w:val="restart"/>
            <w:vAlign w:val="center"/>
          </w:tcPr>
          <w:p w:rsidR="003B2F66" w:rsidRPr="005D2ABC" w:rsidRDefault="003B2F66" w:rsidP="001158DB">
            <w:pPr>
              <w:jc w:val="center"/>
              <w:rPr>
                <w:rFonts w:ascii="仿宋_GB2312" w:eastAsia="仿宋_GB2312" w:hAnsi="仿宋"/>
                <w:bCs/>
                <w:sz w:val="22"/>
              </w:rPr>
            </w:pPr>
            <w:r w:rsidRPr="005D2ABC">
              <w:rPr>
                <w:rFonts w:ascii="仿宋_GB2312" w:eastAsia="仿宋_GB2312" w:hAnsi="仿宋" w:hint="eastAsia"/>
                <w:bCs/>
                <w:sz w:val="22"/>
              </w:rPr>
              <w:t>管理</w:t>
            </w:r>
          </w:p>
          <w:p w:rsidR="003B2F66" w:rsidRPr="005D2ABC" w:rsidRDefault="003B2F66" w:rsidP="001158DB">
            <w:pPr>
              <w:jc w:val="center"/>
              <w:rPr>
                <w:rFonts w:ascii="仿宋_GB2312" w:eastAsia="仿宋_GB2312" w:hAnsi="仿宋"/>
                <w:bCs/>
                <w:sz w:val="22"/>
              </w:rPr>
            </w:pPr>
            <w:r w:rsidRPr="005D2ABC">
              <w:rPr>
                <w:rFonts w:ascii="仿宋_GB2312" w:eastAsia="仿宋_GB2312" w:hAnsi="仿宋" w:hint="eastAsia"/>
                <w:bCs/>
                <w:sz w:val="22"/>
              </w:rPr>
              <w:t>团队</w:t>
            </w:r>
          </w:p>
        </w:tc>
        <w:tc>
          <w:tcPr>
            <w:tcW w:w="3201" w:type="pct"/>
            <w:tcMar>
              <w:top w:w="52" w:type="dxa"/>
              <w:left w:w="52" w:type="dxa"/>
              <w:bottom w:w="52" w:type="dxa"/>
              <w:right w:w="52" w:type="dxa"/>
            </w:tcMar>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管理机构至少有3名具备3年以上早期项目投资经验或相关行业经验的核心管理团队成员。</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754" w:type="pct"/>
            <w:vMerge/>
            <w:vAlign w:val="center"/>
          </w:tcPr>
          <w:p w:rsidR="003B2F66" w:rsidRPr="005D2ABC" w:rsidRDefault="003B2F66" w:rsidP="001158DB">
            <w:pPr>
              <w:rPr>
                <w:rFonts w:ascii="仿宋_GB2312" w:eastAsia="仿宋_GB2312" w:hAnsi="仿宋"/>
                <w:bCs/>
                <w:sz w:val="22"/>
              </w:rPr>
            </w:pPr>
          </w:p>
        </w:tc>
        <w:tc>
          <w:tcPr>
            <w:tcW w:w="3201" w:type="pct"/>
            <w:tcMar>
              <w:top w:w="52" w:type="dxa"/>
              <w:left w:w="52" w:type="dxa"/>
              <w:bottom w:w="52" w:type="dxa"/>
              <w:right w:w="52" w:type="dxa"/>
            </w:tcMar>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核心管理团队成员须至少满足以下条件之一：</w:t>
            </w:r>
          </w:p>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1.主要成员累计管理创业投资基金实缴规模不低于5亿元或至少管理过一只1亿元以上规模的天使投资基金，且有3个（含）以上成功投资退出案例。</w:t>
            </w:r>
          </w:p>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2.主要成员以自有资金及管理的基金累计投资天使类项目资金规模不低于5000万元，且有3个（含）以上成功投资退出案例。</w:t>
            </w:r>
          </w:p>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成功投资退出案例</w:t>
            </w:r>
            <w:proofErr w:type="gramStart"/>
            <w:r w:rsidRPr="005D2ABC">
              <w:rPr>
                <w:rFonts w:ascii="仿宋_GB2312" w:eastAsia="仿宋_GB2312" w:hAnsi="仿宋" w:cs="Times New Roman" w:hint="eastAsia"/>
                <w:bCs/>
                <w:sz w:val="22"/>
              </w:rPr>
              <w:t>是指首两轮</w:t>
            </w:r>
            <w:proofErr w:type="gramEnd"/>
            <w:r w:rsidRPr="005D2ABC">
              <w:rPr>
                <w:rFonts w:ascii="仿宋_GB2312" w:eastAsia="仿宋_GB2312" w:hAnsi="仿宋" w:cs="Times New Roman" w:hint="eastAsia"/>
                <w:bCs/>
                <w:sz w:val="22"/>
              </w:rPr>
              <w:t>外部机构投资项目或者初创期、早中期项目，以现金方式退出部分或全部股权，且该退出部分股权投资收益率超过50%。</w:t>
            </w:r>
          </w:p>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3.主要成员具备3年以上股权投资行业</w:t>
            </w:r>
            <w:proofErr w:type="gramStart"/>
            <w:r w:rsidRPr="005D2ABC">
              <w:rPr>
                <w:rFonts w:ascii="仿宋_GB2312" w:eastAsia="仿宋_GB2312" w:hAnsi="仿宋" w:cs="Times New Roman" w:hint="eastAsia"/>
                <w:bCs/>
                <w:sz w:val="22"/>
              </w:rPr>
              <w:t>项目风控经验</w:t>
            </w:r>
            <w:proofErr w:type="gramEnd"/>
            <w:r w:rsidRPr="005D2ABC">
              <w:rPr>
                <w:rFonts w:ascii="仿宋_GB2312" w:eastAsia="仿宋_GB2312" w:hAnsi="仿宋" w:cs="Times New Roman" w:hint="eastAsia"/>
                <w:bCs/>
                <w:sz w:val="22"/>
              </w:rPr>
              <w:t>。</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754"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风险控制</w:t>
            </w:r>
          </w:p>
        </w:tc>
        <w:tc>
          <w:tcPr>
            <w:tcW w:w="3201" w:type="pct"/>
            <w:tcMar>
              <w:top w:w="52" w:type="dxa"/>
              <w:left w:w="52" w:type="dxa"/>
              <w:bottom w:w="52" w:type="dxa"/>
              <w:right w:w="52" w:type="dxa"/>
            </w:tcMar>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管理机构的管理和投资运作规范，具有完整的投资决策程序、全面的风险控制机制和健全的财务管理制度。近3年内，机构和管理团队主要成员未有受过行政主管机关或司法机关处罚的不良记录。</w:t>
            </w:r>
          </w:p>
        </w:tc>
        <w:tc>
          <w:tcPr>
            <w:tcW w:w="388" w:type="pct"/>
            <w:tcMar>
              <w:top w:w="52" w:type="dxa"/>
              <w:left w:w="52" w:type="dxa"/>
              <w:bottom w:w="52" w:type="dxa"/>
              <w:right w:w="52" w:type="dxa"/>
            </w:tcMar>
            <w:vAlign w:val="center"/>
          </w:tcPr>
          <w:p w:rsidR="003B2F66" w:rsidRPr="005D2ABC" w:rsidRDefault="003B2F66" w:rsidP="001158DB">
            <w:pPr>
              <w:pStyle w:val="tabletrtdany"/>
              <w:jc w:val="center"/>
              <w:rPr>
                <w:rFonts w:ascii="仿宋_GB2312" w:eastAsia="仿宋_GB2312" w:hAnsi="仿宋" w:cs="Times New Roman"/>
                <w:bCs/>
                <w:sz w:val="22"/>
              </w:rPr>
            </w:pPr>
          </w:p>
        </w:tc>
        <w:tc>
          <w:tcPr>
            <w:tcW w:w="655" w:type="pct"/>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p>
        </w:tc>
      </w:tr>
      <w:tr w:rsidR="003B2F66" w:rsidRPr="005D2ABC" w:rsidTr="001158DB">
        <w:trPr>
          <w:jc w:val="center"/>
        </w:trPr>
        <w:tc>
          <w:tcPr>
            <w:tcW w:w="5000" w:type="pct"/>
            <w:gridSpan w:val="4"/>
            <w:tcMar>
              <w:top w:w="52" w:type="dxa"/>
              <w:left w:w="52" w:type="dxa"/>
              <w:bottom w:w="52" w:type="dxa"/>
              <w:right w:w="52" w:type="dxa"/>
            </w:tcMar>
            <w:vAlign w:val="center"/>
          </w:tcPr>
          <w:p w:rsidR="003B2F66" w:rsidRPr="005D2ABC" w:rsidRDefault="003B2F66" w:rsidP="001158DB">
            <w:pPr>
              <w:rPr>
                <w:rFonts w:ascii="仿宋_GB2312" w:eastAsia="仿宋_GB2312" w:hAnsi="仿宋"/>
                <w:bCs/>
                <w:sz w:val="22"/>
              </w:rPr>
            </w:pPr>
            <w:r w:rsidRPr="005D2ABC">
              <w:rPr>
                <w:rFonts w:ascii="黑体" w:eastAsia="黑体" w:hAnsi="黑体" w:cs="Times New Roman" w:hint="eastAsia"/>
                <w:b/>
                <w:bCs/>
                <w:sz w:val="22"/>
              </w:rPr>
              <w:t>二</w:t>
            </w:r>
            <w:r w:rsidRPr="005D2ABC">
              <w:rPr>
                <w:rFonts w:ascii="黑体" w:eastAsia="黑体" w:hAnsi="黑体" w:cs="Times New Roman"/>
                <w:b/>
                <w:bCs/>
                <w:sz w:val="22"/>
              </w:rPr>
              <w:t>、</w:t>
            </w:r>
            <w:proofErr w:type="gramStart"/>
            <w:r w:rsidRPr="005D2ABC">
              <w:rPr>
                <w:rFonts w:ascii="黑体" w:eastAsia="黑体" w:hAnsi="黑体" w:cs="Times New Roman"/>
                <w:b/>
                <w:bCs/>
                <w:sz w:val="22"/>
              </w:rPr>
              <w:t>子基金</w:t>
            </w:r>
            <w:proofErr w:type="gramEnd"/>
            <w:r w:rsidRPr="005D2ABC">
              <w:rPr>
                <w:rFonts w:ascii="黑体" w:eastAsia="黑体" w:hAnsi="黑体" w:cs="Times New Roman"/>
                <w:b/>
                <w:bCs/>
                <w:sz w:val="22"/>
              </w:rPr>
              <w:t>应符合以下条件：</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注册地</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原则上注册于成都高新区</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基金</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规模</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单支规模原则上不超过5亿元人民币</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存续</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期限</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存续期原则上不超过10年</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出资</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比例</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天使</w:t>
            </w:r>
            <w:proofErr w:type="gramStart"/>
            <w:r w:rsidRPr="005D2ABC">
              <w:rPr>
                <w:rFonts w:ascii="仿宋_GB2312" w:eastAsia="仿宋_GB2312" w:hAnsi="仿宋" w:cs="Times New Roman" w:hint="eastAsia"/>
                <w:bCs/>
                <w:sz w:val="22"/>
              </w:rPr>
              <w:t>母基金</w:t>
            </w:r>
            <w:proofErr w:type="gramEnd"/>
            <w:r w:rsidRPr="005D2ABC">
              <w:rPr>
                <w:rFonts w:ascii="仿宋_GB2312" w:eastAsia="仿宋_GB2312" w:hAnsi="仿宋" w:cs="Times New Roman" w:hint="eastAsia"/>
                <w:bCs/>
                <w:sz w:val="22"/>
              </w:rPr>
              <w:t>对单只</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出资比例原则上不超过该</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实缴出资规模的50%，且原则上不超过2.5亿元。</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rPr>
                <w:rFonts w:ascii="仿宋_GB2312" w:eastAsia="仿宋_GB2312" w:hAnsi="仿宋" w:cs="Times New Roman"/>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出资要求</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普通合伙人出资比例不低于</w:t>
            </w:r>
            <w:r w:rsidRPr="005D2ABC">
              <w:rPr>
                <w:rFonts w:ascii="仿宋_GB2312" w:eastAsia="仿宋_GB2312" w:hAnsi="仿宋" w:cs="Times New Roman"/>
                <w:bCs/>
                <w:sz w:val="22"/>
              </w:rPr>
              <w:t>1%</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p>
        </w:tc>
        <w:tc>
          <w:tcPr>
            <w:tcW w:w="655" w:type="pct"/>
            <w:vAlign w:val="center"/>
          </w:tcPr>
          <w:p w:rsidR="003B2F66" w:rsidRPr="005D2ABC" w:rsidRDefault="003B2F66" w:rsidP="001158DB">
            <w:pPr>
              <w:rPr>
                <w:rFonts w:ascii="仿宋_GB2312" w:eastAsia="仿宋_GB2312" w:hAnsi="仿宋" w:cs="Times New Roman"/>
                <w:bCs/>
                <w:sz w:val="22"/>
              </w:rPr>
            </w:pPr>
          </w:p>
        </w:tc>
      </w:tr>
      <w:tr w:rsidR="003B2F66" w:rsidRPr="005D2ABC" w:rsidTr="001158DB">
        <w:trPr>
          <w:jc w:val="center"/>
        </w:trPr>
        <w:tc>
          <w:tcPr>
            <w:tcW w:w="754" w:type="pct"/>
            <w:vMerge w:val="restar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基金</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投向</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主要投资于成都高新区扶持和鼓励发展的产业方向，包括电子信息、生物医药、数字经济等三大主导产业。</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重点专注于微波射频、低空经济、新型储</w:t>
            </w:r>
            <w:r w:rsidRPr="005D2ABC">
              <w:rPr>
                <w:rFonts w:ascii="仿宋_GB2312" w:eastAsia="仿宋_GB2312" w:hAnsi="仿宋" w:cs="Times New Roman" w:hint="eastAsia"/>
                <w:bCs/>
                <w:sz w:val="22"/>
              </w:rPr>
              <w:lastRenderedPageBreak/>
              <w:t>能、创新药、氢能、人形机器人等细分领域。</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对其选定的主导产业方向的项目的投资金额原则上应不低于</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实缴规模的</w:t>
            </w:r>
            <w:r w:rsidRPr="005D2ABC">
              <w:rPr>
                <w:rFonts w:ascii="仿宋_GB2312" w:eastAsia="仿宋_GB2312" w:hAnsi="仿宋" w:cs="Times New Roman" w:hint="eastAsia"/>
                <w:b/>
                <w:sz w:val="22"/>
              </w:rPr>
              <w:t>60%</w:t>
            </w:r>
            <w:r w:rsidRPr="005D2ABC">
              <w:rPr>
                <w:rFonts w:ascii="仿宋_GB2312" w:eastAsia="仿宋_GB2312" w:hAnsi="仿宋" w:cs="Times New Roman" w:hint="eastAsia"/>
                <w:bCs/>
                <w:sz w:val="22"/>
              </w:rPr>
              <w:t>。“重点赛道（特长生）”方向的</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在其申报方向的项目投资金额原则上应不低于</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实缴规模的50%。</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lastRenderedPageBreak/>
              <w:t xml:space="preserve">　</w:t>
            </w:r>
          </w:p>
        </w:tc>
        <w:tc>
          <w:tcPr>
            <w:tcW w:w="655" w:type="pct"/>
            <w:vAlign w:val="center"/>
          </w:tcPr>
          <w:p w:rsidR="003B2F66" w:rsidRPr="005D2ABC" w:rsidRDefault="003B2F66" w:rsidP="001158DB">
            <w:pPr>
              <w:rPr>
                <w:rFonts w:ascii="仿宋_GB2312" w:eastAsia="仿宋_GB2312" w:hAnsi="仿宋" w:cs="Times New Roman"/>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754" w:type="pct"/>
            <w:vMerge/>
          </w:tcPr>
          <w:p w:rsidR="003B2F66" w:rsidRPr="005D2ABC" w:rsidRDefault="003B2F66" w:rsidP="001158DB">
            <w:pPr>
              <w:pStyle w:val="tabletrtdany"/>
              <w:jc w:val="center"/>
              <w:rPr>
                <w:rFonts w:ascii="仿宋_GB2312" w:eastAsia="仿宋_GB2312" w:hAnsi="仿宋" w:cs="Times New Roman"/>
                <w:bCs/>
                <w:sz w:val="22"/>
              </w:rPr>
            </w:pP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投资于天使类项目的金额不低于</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总规模的60%，在投资期内对子基金已投天使类项目的追加投资可纳入天使类项目认定。</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rPr>
                <w:rFonts w:ascii="仿宋_GB2312" w:eastAsia="仿宋_GB2312" w:hAnsi="仿宋" w:cs="Times New Roman"/>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投资限额</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 xml:space="preserve">1. </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对单个项目单次投资金额原则上不超过</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总规模的10%，追加投资后对单个项目累计投资额原则上不超过</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总规模的20%。</w:t>
            </w:r>
          </w:p>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2.</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投资的项目总数原则上不低于15个（主投生物医药类</w:t>
            </w: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不低于10个）。其中，投资于成立时间不超过2年（生物医药类企业为5年）的企业数原则上不低于2个。</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p>
        </w:tc>
        <w:tc>
          <w:tcPr>
            <w:tcW w:w="655" w:type="pct"/>
            <w:vAlign w:val="center"/>
          </w:tcPr>
          <w:p w:rsidR="003B2F66" w:rsidRPr="005D2ABC" w:rsidRDefault="003B2F66" w:rsidP="001158DB">
            <w:pPr>
              <w:rPr>
                <w:rFonts w:ascii="仿宋_GB2312" w:eastAsia="仿宋_GB2312" w:hAnsi="仿宋" w:cs="Times New Roman"/>
                <w:bCs/>
                <w:sz w:val="22"/>
              </w:rPr>
            </w:pP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管理费</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年度管理费率原则上不超过实缴规模的2.5%，且对天使</w:t>
            </w:r>
            <w:proofErr w:type="gramStart"/>
            <w:r w:rsidRPr="005D2ABC">
              <w:rPr>
                <w:rFonts w:ascii="仿宋_GB2312" w:eastAsia="仿宋_GB2312" w:hAnsi="仿宋" w:cs="Times New Roman" w:hint="eastAsia"/>
                <w:bCs/>
                <w:sz w:val="22"/>
              </w:rPr>
              <w:t>母基金</w:t>
            </w:r>
            <w:proofErr w:type="gramEnd"/>
            <w:r w:rsidRPr="005D2ABC">
              <w:rPr>
                <w:rFonts w:ascii="仿宋_GB2312" w:eastAsia="仿宋_GB2312" w:hAnsi="仿宋" w:cs="Times New Roman" w:hint="eastAsia"/>
                <w:bCs/>
                <w:sz w:val="22"/>
              </w:rPr>
              <w:t>收取管理费的标准不得高于其他出资人。</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rPr>
                <w:rFonts w:ascii="仿宋_GB2312" w:eastAsia="仿宋_GB2312" w:hAnsi="仿宋" w:cs="Times New Roman"/>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收益</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分配</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proofErr w:type="gramStart"/>
            <w:r w:rsidRPr="005D2ABC">
              <w:rPr>
                <w:rFonts w:ascii="仿宋_GB2312" w:eastAsia="仿宋_GB2312" w:hAnsi="仿宋" w:cs="Times New Roman" w:hint="eastAsia"/>
                <w:bCs/>
                <w:sz w:val="22"/>
              </w:rPr>
              <w:t>子基金</w:t>
            </w:r>
            <w:proofErr w:type="gramEnd"/>
            <w:r w:rsidRPr="005D2ABC">
              <w:rPr>
                <w:rFonts w:ascii="仿宋_GB2312" w:eastAsia="仿宋_GB2312" w:hAnsi="仿宋" w:cs="Times New Roman" w:hint="eastAsia"/>
                <w:bCs/>
                <w:sz w:val="22"/>
              </w:rPr>
              <w:t>投资项目退出后，投资回收资金不得再用于对外投资，需及时按合伙协议约定向投资人进行分配，分配采取整体“先回本后分利”方式。</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 xml:space="preserve">　</w:t>
            </w:r>
          </w:p>
        </w:tc>
        <w:tc>
          <w:tcPr>
            <w:tcW w:w="655" w:type="pct"/>
            <w:vAlign w:val="center"/>
          </w:tcPr>
          <w:p w:rsidR="003B2F66" w:rsidRPr="005D2ABC" w:rsidRDefault="003B2F66" w:rsidP="001158DB">
            <w:pPr>
              <w:rPr>
                <w:rFonts w:ascii="仿宋_GB2312" w:eastAsia="仿宋_GB2312" w:hAnsi="仿宋" w:cs="Times New Roman"/>
                <w:bCs/>
                <w:sz w:val="22"/>
              </w:rPr>
            </w:pPr>
            <w:r w:rsidRPr="005D2ABC">
              <w:rPr>
                <w:rFonts w:ascii="仿宋_GB2312" w:eastAsia="仿宋_GB2312" w:hAnsi="仿宋" w:hint="eastAsia"/>
                <w:bCs/>
                <w:sz w:val="22"/>
              </w:rPr>
              <w:t xml:space="preserve">　</w:t>
            </w:r>
          </w:p>
        </w:tc>
      </w:tr>
      <w:tr w:rsidR="003B2F66" w:rsidRPr="005D2ABC" w:rsidTr="001158DB">
        <w:trPr>
          <w:jc w:val="center"/>
        </w:trPr>
        <w:tc>
          <w:tcPr>
            <w:tcW w:w="0" w:type="auto"/>
            <w:vAlign w:val="center"/>
          </w:tcPr>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资金</w:t>
            </w:r>
          </w:p>
          <w:p w:rsidR="003B2F66" w:rsidRPr="005D2ABC" w:rsidRDefault="003B2F66" w:rsidP="001158DB">
            <w:pPr>
              <w:pStyle w:val="tabletrtdany"/>
              <w:jc w:val="center"/>
              <w:rPr>
                <w:rFonts w:ascii="仿宋_GB2312" w:eastAsia="仿宋_GB2312" w:hAnsi="仿宋" w:cs="Times New Roman"/>
                <w:bCs/>
                <w:sz w:val="22"/>
              </w:rPr>
            </w:pPr>
            <w:r w:rsidRPr="005D2ABC">
              <w:rPr>
                <w:rFonts w:ascii="仿宋_GB2312" w:eastAsia="仿宋_GB2312" w:hAnsi="仿宋" w:cs="Times New Roman" w:hint="eastAsia"/>
                <w:bCs/>
                <w:sz w:val="22"/>
              </w:rPr>
              <w:t>托管</w:t>
            </w:r>
          </w:p>
        </w:tc>
        <w:tc>
          <w:tcPr>
            <w:tcW w:w="3201" w:type="pct"/>
            <w:vAlign w:val="center"/>
          </w:tcPr>
          <w:p w:rsidR="003B2F66" w:rsidRPr="005D2ABC" w:rsidRDefault="003B2F66" w:rsidP="001158DB">
            <w:pPr>
              <w:pStyle w:val="tabletrtdany"/>
              <w:rPr>
                <w:rFonts w:ascii="仿宋_GB2312" w:eastAsia="仿宋_GB2312" w:hAnsi="仿宋" w:cs="Times New Roman"/>
                <w:bCs/>
                <w:sz w:val="22"/>
              </w:rPr>
            </w:pPr>
            <w:r w:rsidRPr="005D2ABC">
              <w:rPr>
                <w:rFonts w:ascii="仿宋_GB2312" w:eastAsia="仿宋_GB2312" w:hAnsi="仿宋" w:cs="Times New Roman" w:hint="eastAsia"/>
                <w:bCs/>
                <w:sz w:val="22"/>
              </w:rPr>
              <w:t>原则上</w:t>
            </w:r>
            <w:proofErr w:type="gramStart"/>
            <w:r w:rsidRPr="005D2ABC">
              <w:rPr>
                <w:rFonts w:ascii="仿宋_GB2312" w:eastAsia="仿宋_GB2312" w:hAnsi="仿宋" w:cs="Times New Roman" w:hint="eastAsia"/>
                <w:bCs/>
                <w:sz w:val="22"/>
              </w:rPr>
              <w:t>托管户</w:t>
            </w:r>
            <w:proofErr w:type="gramEnd"/>
            <w:r w:rsidRPr="005D2ABC">
              <w:rPr>
                <w:rFonts w:ascii="仿宋_GB2312" w:eastAsia="仿宋_GB2312" w:hAnsi="仿宋" w:cs="Times New Roman" w:hint="eastAsia"/>
                <w:bCs/>
                <w:sz w:val="22"/>
              </w:rPr>
              <w:t>一般应在工商和税收关系位于成都高新区的各商业银行中择优确定开立</w:t>
            </w:r>
          </w:p>
        </w:tc>
        <w:tc>
          <w:tcPr>
            <w:tcW w:w="388" w:type="pct"/>
            <w:vAlign w:val="center"/>
          </w:tcPr>
          <w:p w:rsidR="003B2F66" w:rsidRPr="005D2ABC" w:rsidRDefault="003B2F66" w:rsidP="001158DB">
            <w:pPr>
              <w:pStyle w:val="tabletrtdany"/>
              <w:jc w:val="center"/>
              <w:rPr>
                <w:rFonts w:ascii="仿宋_GB2312" w:eastAsia="仿宋_GB2312" w:hAnsi="仿宋" w:cs="Times New Roman"/>
                <w:bCs/>
                <w:sz w:val="22"/>
              </w:rPr>
            </w:pPr>
          </w:p>
        </w:tc>
        <w:tc>
          <w:tcPr>
            <w:tcW w:w="655" w:type="pct"/>
            <w:vAlign w:val="center"/>
          </w:tcPr>
          <w:p w:rsidR="003B2F66" w:rsidRPr="005D2ABC" w:rsidRDefault="003B2F66" w:rsidP="001158DB">
            <w:pPr>
              <w:rPr>
                <w:rFonts w:ascii="仿宋_GB2312" w:eastAsia="仿宋_GB2312" w:hAnsi="仿宋" w:cs="Times New Roman"/>
                <w:bCs/>
                <w:sz w:val="22"/>
              </w:rPr>
            </w:pPr>
          </w:p>
        </w:tc>
      </w:tr>
    </w:tbl>
    <w:p w:rsidR="003B2F66" w:rsidRPr="005D2ABC" w:rsidRDefault="003B2F66" w:rsidP="003B2F66">
      <w:pPr>
        <w:spacing w:line="400" w:lineRule="auto"/>
        <w:rPr>
          <w:rFonts w:ascii="仿宋_GB2312" w:eastAsia="仿宋_GB2312" w:hAnsi="仿宋"/>
          <w:sz w:val="22"/>
          <w:u w:val="single" w:color="218FC4"/>
        </w:rPr>
      </w:pPr>
    </w:p>
    <w:p w:rsidR="00B55493" w:rsidRPr="003B2F66" w:rsidRDefault="003B2F66">
      <w:bookmarkStart w:id="0" w:name="_GoBack"/>
      <w:bookmarkEnd w:id="0"/>
    </w:p>
    <w:sectPr w:rsidR="00B55493" w:rsidRPr="003B2F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66"/>
    <w:rsid w:val="003B2F66"/>
    <w:rsid w:val="003E5EC5"/>
    <w:rsid w:val="00A92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8011DF-F072-4906-BC9F-01C5CF55E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B2F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trtdany">
    <w:name w:val="table_tr_td &gt; any"/>
    <w:basedOn w:val="a"/>
    <w:autoRedefine/>
    <w:qFormat/>
    <w:rsid w:val="003B2F66"/>
    <w:rPr>
      <w:rFonts w:ascii="宋体" w:eastAsia="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1110</Characters>
  <Application>Microsoft Office Word</Application>
  <DocSecurity>0</DocSecurity>
  <Lines>9</Lines>
  <Paragraphs>2</Paragraphs>
  <ScaleCrop>false</ScaleCrop>
  <Company>P R C</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2024-06-07T07:28:00Z</dcterms:created>
  <dcterms:modified xsi:type="dcterms:W3CDTF">2024-06-07T07:29:00Z</dcterms:modified>
</cp:coreProperties>
</file>