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"http://commerce.ah.gov.cn/group5/M00/04/71/wKg8v2LXuauAEBrvAAKoAJtoIZU607.xls" </w:instrTex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年度成都市郫都区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促进服务业高质量发展若干政策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支持项目公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示清单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1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4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成都格逸瑞居置业有限公司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四川省丹丹郫县豆瓣集团股份有限公司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四川省郫县豆瓣股份有限公司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成都市罗迪波尔机械设备有限公司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四川天台食品有限公司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成都市富民食品有限公司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四川省川陴豆瓣有限公司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成都恒丰源食品有限公司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成都易明半导体有限公司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成都易明半导体有限公司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成都图南电子有限公司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成都科锐传感技术有限公司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成都软通动力信息技术服务有限公司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中国水利水电第七工程局有限公司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成都中嘉微视科技有限公司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成都岚牌—辛普皮业有限公司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四川蜀道装备科技股份有限公司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四川新成明进出口贸易有限公司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四川金和实业发展有限公司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中国水利水电第七工程局有限公司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四川金星石油化工机械设备有限公司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成都飞龙航空科技有限公司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四川志英实业有限公司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四川川润液压润滑设备有限公司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成都华维印刷器材有限公司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成都易明半导体有限公司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四川格林流体控制设备有限公司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成都中嘉微视科技有限公司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29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成都通用兴达电器箱柜有限公司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当纳利（成都）印刷有限公司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四川极道电装实业有限公司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成都现代万通锚固技术有限公司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四川灼识科技有限公司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成都壮达新材料有限公司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成都市三宇电子机械有限公司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成都易德利机械有限公司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优耐德节能科技（成都）有限公司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成都饭美丽商贸有限责任公司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39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成都保利安国际贸易技术有限公司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大军国际贸易（成都）有限公司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成都顺千和科技有限公司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成都云影方塘科技有限公司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四川蜀氢能源科技有限公司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成都频岢微电子有限公司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成都华荣焊接制备有限公司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成都奕康真空电子技术有限责任公司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四川诺乐电动科技有限公司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成都谨冠电子系统有限公司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49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成都成飞绿色环境科技有限责任公司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四川麻辣空间食品有限公司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成都华远检测技术有限公司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荣谕科技（成都）有限公司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成都矽科电子科技有限公司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成都科税传感技术有限公司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成都佰德利汽车安全系统有限公司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成都德玛讯商贸有限公司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成都天奕旭峰商贸有限公司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成都源凯海讯贸易有限公司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59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成都广源盈鑫贸易有限公司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成都建威锐进出口贸易有限公司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成都决瑞屿进出口贸易有限公司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成都嘉源辉宏商贸有限公司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四川银创高博商贸有限公司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成都坤益嘉昆一商贸有限公司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成都兰禧语兰商贸有限公司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成都欣荣欣宸贸易有限公司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成都佑宸贸易有限公司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 xml:space="preserve">成都茂阳木进出口贸易有限公司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69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成都晖旺格进出口贸易有限公司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成都曼茂圭进出口贸易有限公司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成都纽拓迪进出口贸易有限公司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成都运亨贸易有限公司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成都市卓勃贸易有限公司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成都城恒尚进出口贸易有限公司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成都南旺语进出口贸易有限公司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成都合顺锦贸易有限公司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成都铭舶贸易有限公司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78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成都环巡贸易有限公司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79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成都檀越商贸有限公司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成都琦益鲜网络科技有限公司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成都蜀源品牌运营有限公司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成都市鹃和商贸有限责任公司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成都圣朗商业有限公司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成都琦益鲜网络科技有限公司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成都檀越商贸有限公司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89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四川乐诺电动科技有限公司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四川君恒泰电子电器有限公司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四川君恒泰电子电器有限公司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成都丽天酒店有限公司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成都印象泰和园餐饮管理有限公司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成都蜀新印象泰和园餐饮有限公司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成都印象泰和园餐饮管理有限公司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成都市德均餐饮管理有限公司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郫都区杨鸡肉陌上人家喜宴荟休闲庄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99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成都汇鑫苑餐饮服务有限公司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成都市郫都区徐记尚河渔庄中餐馆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成都大千河畔餐饮有限公司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郫都区杨鸡肉陌上人家喜宴荟休闲庄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成都市德均餐饮管理有限公司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成都西御园酒店管理有限公司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成都川菜博物馆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成都市廖味轩餐饮服务有限公司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台丽（四川）农业科技有限公司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10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成都恒泰精诚企业管理有限公司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四川桃花岛休闲度假有限公司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四川春天花乐园投资有限公司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四川灏景文化旅游发展有限公司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成都古城酒店管理有限公司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成都靖丰农业发展有限公司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四川汇美产业发展有限公司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四川春田纪网络科技有限公司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四川新起程企业管理有限公司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成都影视硅谷集团有限公司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四川中鑫凯盛再生资源有限公司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四川中科建工程检测有限公司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成都鼎配供应链管理有限公司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四川省鸿宇鑫瑞新能源汽车销售有限公司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成都市奕诺贸易有限公司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成都蓝渡休闲度假有限公司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成都绿源行农产品有限公司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四川鲜市集百货超市有限公司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四川金府蜀满楼食品有限公司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12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四川闽奥食品有限公司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成都金蜀不锈钢有限公司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成都大玮食品有限公司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四川信通业达金属制品有限公司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四川泓润企业管理有限公司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四川嘉源泰合贸易有限公司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成都望丛烤匠餐饮服务有限公司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成都金华川信息技术有限公司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四川豆豆鑫荣科技有限公司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成都佰瑞鑫商贸有限公司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13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国联军创（成都）智能科技有限公司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成都缤纷魔方科技有限公司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成都岭南牛杂餐饮管理有限公司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成都市海骏达商业管理有限公司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成都众创汇人力资源管理有限公司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成都宝创汽车销售服务有限公司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成都则行酒店管理有限公司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成都华通成科技有限公司恒邦天府喜来登酒店分公司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成都汇鑫苑餐饮服务有限公司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14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郫县景水苑餐饮管理有限公司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四川锦云格贸易有限公司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四川吉润供应链管理有限公司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成都丽天酒店有限公司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四川蜀西地质工程勘测集团有限公司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成都大千河畔餐饮有限公司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四川华腾公路试验检测有限责任公司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四川中鑫凯盛再生资源有限公司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四川汇翔供应链管理有限公司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成都康庄物流有限责任公司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15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成都蜀源品牌运营有限公司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成都绿源行农产品有限公司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四川闽奥食品有限公司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郫县万达广场商业管理有限公司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四川凯路思实业有限公司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成都岭南牛杂餐饮管理有限公司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成都则行酒店管理有限公司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成都印象泰和园餐饮管理有限公司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成都西御园酒店管理有限公司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成都三泰酒店有限公司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16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成都市金屿实业有限公司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成都宝创汽车销售服务有限公司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成都高速运营管理有限公司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成都苏轼广博环境可靠性技术有限公司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海霸王（成都）冷藏物流有限公司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成都瑞锦商贸有限公司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成都软通动力信息技术服务有限公司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荣庄（成都）冷链物流有限公司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成都高速公路股份有限公司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成都郫都万达广场管理有限公司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17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成都圣朗商业有限公司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四川中电启明星信息技术有限公司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四川饭扫光食品销售有限公司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四川宏锦志人力资源管理有限公司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成都蜀源品牌运营有限公司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四川香草湖旅游景区管理有限公司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四川春天花乐园投资有限公司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成都绿城川菜小镇实业有限公司商业运营分公司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85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成都市郫都区餐饮同业公会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成都市郫都区餐饮同业公会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18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成都市郫都区餐饮同业公会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88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成都市郫都区餐饮同业公会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89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成都市郫都区餐饮同业公会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成都市郫都区电子商务协会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Cs w:val="21"/>
              </w:rPr>
              <w:t>19</w:t>
            </w:r>
            <w:r>
              <w:rPr>
                <w:rFonts w:hint="eastAsia" w:ascii="宋体" w:hAnsi="宋体" w:eastAsia="方正仿宋简体" w:cs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5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Cs w:val="21"/>
              </w:rPr>
              <w:t>成都市郫都区再生资源行业协会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552F5-0082-42ED-87D0-E577311170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EF04A4-DFC6-43B4-B14F-DD8B81946AB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731A7B1-E9D2-4C73-BF2E-64021DEF7D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GJmYTFhOGMyMmIyMTM1NWJmZDNhNWU3NTFmZjUifQ=="/>
  </w:docVars>
  <w:rsids>
    <w:rsidRoot w:val="00000000"/>
    <w:rsid w:val="17D66D1D"/>
    <w:rsid w:val="2CD04744"/>
    <w:rsid w:val="2E220211"/>
    <w:rsid w:val="35887A23"/>
    <w:rsid w:val="37DB3C9B"/>
    <w:rsid w:val="476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2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2927</Words>
  <Characters>3257</Characters>
  <Lines>0</Lines>
  <Paragraphs>0</Paragraphs>
  <TotalTime>9</TotalTime>
  <ScaleCrop>false</ScaleCrop>
  <LinksUpToDate>false</LinksUpToDate>
  <CharactersWithSpaces>3267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2024-06-05T02:53:00Z</dcterms:created>
  <dc:creator>lenovo</dc:creator>
  <cp:lastModifiedBy>DELL</cp:lastModifiedBy>
  <dcterms:modified xsi:type="dcterms:W3CDTF">2024-06-07T03:14:47Z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D3348170B8404C0AA088EC0E706AE1E1_12</vt:lpwstr>
  </property>
</Properties>
</file>