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CC" w:rsidRDefault="008E4FCC" w:rsidP="008E4FCC">
      <w:pPr>
        <w:overflowPunct w:val="0"/>
        <w:adjustRightInd w:val="0"/>
        <w:snapToGrid w:val="0"/>
        <w:spacing w:line="600" w:lineRule="exact"/>
        <w:rPr>
          <w:rFonts w:ascii="Times New Roman" w:eastAsia="黑体" w:hAnsi="Times New Roman" w:hint="eastAsia"/>
          <w:bCs/>
          <w:kern w:val="0"/>
          <w:sz w:val="32"/>
          <w:szCs w:val="32"/>
        </w:rPr>
      </w:pPr>
      <w:r>
        <w:rPr>
          <w:rFonts w:ascii="Times New Roman" w:eastAsia="黑体" w:hAnsi="Times New Roman" w:hint="eastAsia"/>
          <w:bCs/>
          <w:kern w:val="0"/>
          <w:sz w:val="32"/>
          <w:szCs w:val="32"/>
        </w:rPr>
        <w:t>附件</w:t>
      </w:r>
      <w:r>
        <w:rPr>
          <w:rFonts w:ascii="Times New Roman" w:eastAsia="黑体" w:hAnsi="Times New Roman" w:hint="eastAsia"/>
          <w:bCs/>
          <w:kern w:val="0"/>
          <w:sz w:val="32"/>
          <w:szCs w:val="32"/>
        </w:rPr>
        <w:t>1</w:t>
      </w:r>
    </w:p>
    <w:p w:rsidR="008E4FCC" w:rsidRDefault="008E4FCC" w:rsidP="008E4FCC">
      <w:pPr>
        <w:pStyle w:val="a0"/>
        <w:rPr>
          <w:lang w:eastAsia="zh-CN"/>
        </w:rPr>
      </w:pPr>
    </w:p>
    <w:p w:rsidR="008E4FCC" w:rsidRDefault="008E4FCC" w:rsidP="008E4FCC">
      <w:pPr>
        <w:overflowPunct w:val="0"/>
        <w:adjustRightInd w:val="0"/>
        <w:snapToGrid w:val="0"/>
        <w:spacing w:line="600" w:lineRule="exact"/>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成都市推进公共领域车辆全面电动化</w:t>
      </w:r>
    </w:p>
    <w:p w:rsidR="008E4FCC" w:rsidRDefault="008E4FCC" w:rsidP="008E4FCC">
      <w:pPr>
        <w:overflowPunct w:val="0"/>
        <w:adjustRightInd w:val="0"/>
        <w:snapToGrid w:val="0"/>
        <w:spacing w:line="600" w:lineRule="exact"/>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先行区建设实施方案</w:t>
      </w:r>
    </w:p>
    <w:p w:rsidR="008E4FCC" w:rsidRDefault="008E4FCC" w:rsidP="008E4FCC">
      <w:pPr>
        <w:overflowPunct w:val="0"/>
        <w:adjustRightInd w:val="0"/>
        <w:snapToGrid w:val="0"/>
        <w:spacing w:line="600" w:lineRule="exact"/>
        <w:jc w:val="center"/>
        <w:rPr>
          <w:rFonts w:ascii="Times New Roman" w:eastAsia="方正仿宋简体" w:hAnsi="Times New Roman" w:hint="eastAsia"/>
          <w:sz w:val="32"/>
          <w:szCs w:val="32"/>
        </w:rPr>
      </w:pPr>
      <w:r>
        <w:rPr>
          <w:rFonts w:ascii="Times New Roman" w:eastAsia="方正仿宋简体" w:hAnsi="Times New Roman" w:hint="eastAsia"/>
          <w:sz w:val="32"/>
          <w:szCs w:val="32"/>
        </w:rPr>
        <w:t>（征求意见稿）</w:t>
      </w:r>
    </w:p>
    <w:p w:rsidR="008E4FCC" w:rsidRDefault="008E4FCC" w:rsidP="008E4FCC">
      <w:pPr>
        <w:overflowPunct w:val="0"/>
        <w:adjustRightInd w:val="0"/>
        <w:snapToGrid w:val="0"/>
        <w:spacing w:line="600" w:lineRule="exact"/>
        <w:ind w:firstLineChars="200" w:firstLine="632"/>
        <w:rPr>
          <w:rFonts w:ascii="Times New Roman" w:eastAsia="方正仿宋简体" w:hAnsi="Times New Roman"/>
          <w:sz w:val="32"/>
          <w:szCs w:val="32"/>
        </w:rPr>
      </w:pPr>
    </w:p>
    <w:p w:rsidR="008E4FCC" w:rsidRDefault="008E4FCC" w:rsidP="008E4FCC">
      <w:pPr>
        <w:overflowPunct w:val="0"/>
        <w:adjustRightInd w:val="0"/>
        <w:snapToGrid w:val="0"/>
        <w:spacing w:line="600" w:lineRule="exact"/>
        <w:ind w:firstLineChars="200" w:firstLine="632"/>
        <w:rPr>
          <w:rFonts w:ascii="Times New Roman" w:eastAsia="方正仿宋简体" w:hAnsi="Times New Roman"/>
          <w:sz w:val="32"/>
          <w:szCs w:val="32"/>
        </w:rPr>
      </w:pPr>
      <w:r>
        <w:rPr>
          <w:rFonts w:ascii="Times New Roman" w:eastAsia="方正仿宋简体" w:hAnsi="Times New Roman"/>
          <w:sz w:val="32"/>
          <w:szCs w:val="32"/>
        </w:rPr>
        <w:t>为贯彻落实《工业和信息化部等八部门办公厅（室）关于启动第一批公共领域车辆全面电动化先行区试点的通知》（工信厅联通装函〔</w:t>
      </w:r>
      <w:r>
        <w:rPr>
          <w:rFonts w:ascii="Times New Roman" w:eastAsia="方正仿宋简体" w:hAnsi="Times New Roman"/>
          <w:sz w:val="32"/>
          <w:szCs w:val="32"/>
        </w:rPr>
        <w:t>2023</w:t>
      </w:r>
      <w:r>
        <w:rPr>
          <w:rFonts w:ascii="Times New Roman" w:eastAsia="方正仿宋简体" w:hAnsi="Times New Roman"/>
          <w:sz w:val="32"/>
          <w:szCs w:val="32"/>
        </w:rPr>
        <w:t>〕</w:t>
      </w:r>
      <w:r>
        <w:rPr>
          <w:rFonts w:ascii="Times New Roman" w:eastAsia="方正仿宋简体" w:hAnsi="Times New Roman"/>
          <w:sz w:val="32"/>
          <w:szCs w:val="32"/>
        </w:rPr>
        <w:t>313</w:t>
      </w:r>
      <w:r>
        <w:rPr>
          <w:rFonts w:ascii="Times New Roman" w:eastAsia="方正仿宋简体" w:hAnsi="Times New Roman"/>
          <w:sz w:val="32"/>
          <w:szCs w:val="32"/>
        </w:rPr>
        <w:t>号）要求，积极创新、先行先试，大力推进全国公共领域车辆全面电动化先行区建设，</w:t>
      </w:r>
      <w:r>
        <w:rPr>
          <w:rFonts w:ascii="Times New Roman" w:eastAsia="方正仿宋简体" w:hAnsi="Times New Roman" w:hint="eastAsia"/>
          <w:sz w:val="32"/>
          <w:szCs w:val="32"/>
        </w:rPr>
        <w:t>支撑我市</w:t>
      </w:r>
      <w:r>
        <w:rPr>
          <w:rFonts w:ascii="Times New Roman" w:eastAsia="方正仿宋简体" w:hAnsi="Times New Roman"/>
          <w:sz w:val="32"/>
          <w:szCs w:val="32"/>
        </w:rPr>
        <w:t>新能源汽车产业发展、</w:t>
      </w:r>
      <w:r>
        <w:rPr>
          <w:rFonts w:ascii="方正仿宋简体" w:eastAsia="方正仿宋简体" w:hAnsi="Times New Roman" w:hint="eastAsia"/>
          <w:sz w:val="32"/>
          <w:szCs w:val="32"/>
        </w:rPr>
        <w:t>“</w:t>
      </w:r>
      <w:r>
        <w:rPr>
          <w:rFonts w:ascii="Times New Roman" w:eastAsia="方正仿宋简体" w:hAnsi="Times New Roman"/>
          <w:sz w:val="32"/>
          <w:szCs w:val="32"/>
        </w:rPr>
        <w:t>四大结构</w:t>
      </w:r>
      <w:r>
        <w:rPr>
          <w:rFonts w:ascii="方正仿宋简体" w:eastAsia="方正仿宋简体" w:hAnsi="Times New Roman" w:hint="eastAsia"/>
          <w:sz w:val="32"/>
          <w:szCs w:val="32"/>
        </w:rPr>
        <w:t>”</w:t>
      </w:r>
      <w:r>
        <w:rPr>
          <w:rFonts w:ascii="Times New Roman" w:eastAsia="方正仿宋简体" w:hAnsi="Times New Roman"/>
          <w:sz w:val="32"/>
          <w:szCs w:val="32"/>
        </w:rPr>
        <w:t>优化调整和移动源污染防治，结合</w:t>
      </w:r>
      <w:r>
        <w:rPr>
          <w:rFonts w:ascii="Times New Roman" w:eastAsia="方正仿宋简体" w:hAnsi="Times New Roman" w:hint="eastAsia"/>
          <w:sz w:val="32"/>
          <w:szCs w:val="32"/>
        </w:rPr>
        <w:t>有关</w:t>
      </w:r>
      <w:r>
        <w:rPr>
          <w:rFonts w:ascii="Times New Roman" w:eastAsia="方正仿宋简体" w:hAnsi="Times New Roman"/>
          <w:sz w:val="32"/>
          <w:szCs w:val="32"/>
        </w:rPr>
        <w:t>实际，制定本方案。</w:t>
      </w:r>
    </w:p>
    <w:p w:rsidR="008E4FCC" w:rsidRDefault="008E4FCC" w:rsidP="008E4FCC">
      <w:pPr>
        <w:overflowPunct w:val="0"/>
        <w:adjustRightInd w:val="0"/>
        <w:snapToGrid w:val="0"/>
        <w:spacing w:line="600" w:lineRule="exact"/>
        <w:ind w:firstLineChars="200" w:firstLine="632"/>
        <w:rPr>
          <w:rFonts w:ascii="Times New Roman" w:eastAsia="方正黑体简体" w:hAnsi="Times New Roman"/>
          <w:sz w:val="32"/>
          <w:szCs w:val="32"/>
        </w:rPr>
      </w:pPr>
      <w:r>
        <w:rPr>
          <w:rFonts w:ascii="Times New Roman" w:eastAsia="方正黑体简体" w:hAnsi="Times New Roman" w:hint="eastAsia"/>
          <w:sz w:val="32"/>
          <w:szCs w:val="32"/>
        </w:rPr>
        <w:t>一</w:t>
      </w:r>
      <w:r>
        <w:rPr>
          <w:rFonts w:ascii="Times New Roman" w:eastAsia="方正黑体简体" w:hAnsi="Times New Roman"/>
          <w:sz w:val="32"/>
          <w:szCs w:val="32"/>
        </w:rPr>
        <w:t>、工作目标</w:t>
      </w:r>
    </w:p>
    <w:p w:rsidR="008E4FCC" w:rsidRDefault="008E4FCC" w:rsidP="008E4FCC">
      <w:pPr>
        <w:overflowPunct w:val="0"/>
        <w:adjustRightInd w:val="0"/>
        <w:snapToGrid w:val="0"/>
        <w:spacing w:line="600" w:lineRule="exact"/>
        <w:ind w:firstLineChars="200" w:firstLine="632"/>
        <w:rPr>
          <w:rFonts w:ascii="Times New Roman" w:eastAsia="方正仿宋简体" w:hAnsi="Times New Roman"/>
          <w:sz w:val="32"/>
          <w:szCs w:val="32"/>
        </w:rPr>
      </w:pPr>
      <w:r>
        <w:rPr>
          <w:rFonts w:ascii="Times New Roman" w:eastAsia="方正仿宋简体" w:hAnsi="Times New Roman"/>
          <w:sz w:val="32"/>
          <w:szCs w:val="32"/>
        </w:rPr>
        <w:t>2023—2025</w:t>
      </w:r>
      <w:r>
        <w:rPr>
          <w:rFonts w:ascii="Times New Roman" w:eastAsia="方正仿宋简体" w:hAnsi="Times New Roman"/>
          <w:sz w:val="32"/>
          <w:szCs w:val="32"/>
        </w:rPr>
        <w:t>年，</w:t>
      </w:r>
      <w:r>
        <w:rPr>
          <w:rFonts w:ascii="Times New Roman" w:eastAsia="方正仿宋简体" w:hAnsi="Times New Roman" w:hint="eastAsia"/>
          <w:sz w:val="32"/>
          <w:szCs w:val="32"/>
        </w:rPr>
        <w:t>全</w:t>
      </w:r>
      <w:r>
        <w:rPr>
          <w:rFonts w:ascii="Times New Roman" w:eastAsia="方正仿宋简体" w:hAnsi="Times New Roman"/>
          <w:sz w:val="32"/>
          <w:szCs w:val="32"/>
        </w:rPr>
        <w:t>市公务用车、公交、巡游出租、网约、环卫、邮政快递、城市物流配送、机场、短途运输、城建物流、驾考驾培等公共领域新增和更新新能源汽车</w:t>
      </w:r>
      <w:r>
        <w:rPr>
          <w:rFonts w:ascii="Times New Roman" w:eastAsia="方正仿宋简体" w:hAnsi="Times New Roman"/>
          <w:sz w:val="32"/>
          <w:szCs w:val="32"/>
        </w:rPr>
        <w:t>3.66</w:t>
      </w:r>
      <w:r>
        <w:rPr>
          <w:rFonts w:ascii="Times New Roman" w:eastAsia="方正仿宋简体" w:hAnsi="Times New Roman"/>
          <w:sz w:val="32"/>
          <w:szCs w:val="32"/>
        </w:rPr>
        <w:t>万辆（折合新能源标准车</w:t>
      </w:r>
      <w:r>
        <w:rPr>
          <w:rFonts w:ascii="Times New Roman" w:eastAsia="方正仿宋简体" w:hAnsi="Times New Roman"/>
          <w:sz w:val="32"/>
          <w:szCs w:val="32"/>
        </w:rPr>
        <w:t>10</w:t>
      </w:r>
      <w:r>
        <w:rPr>
          <w:rFonts w:ascii="Times New Roman" w:eastAsia="方正仿宋简体" w:hAnsi="Times New Roman"/>
          <w:sz w:val="32"/>
          <w:szCs w:val="32"/>
        </w:rPr>
        <w:t>万辆），力争</w:t>
      </w:r>
      <w:r>
        <w:rPr>
          <w:rFonts w:ascii="Times New Roman" w:eastAsia="方正仿宋简体" w:hAnsi="Times New Roman" w:hint="eastAsia"/>
          <w:sz w:val="32"/>
          <w:szCs w:val="32"/>
        </w:rPr>
        <w:t>新建</w:t>
      </w:r>
      <w:r>
        <w:rPr>
          <w:rFonts w:ascii="Times New Roman" w:eastAsia="方正仿宋简体" w:hAnsi="Times New Roman"/>
          <w:sz w:val="32"/>
          <w:szCs w:val="32"/>
        </w:rPr>
        <w:t>充电桩</w:t>
      </w:r>
      <w:r>
        <w:rPr>
          <w:rFonts w:ascii="Times New Roman" w:eastAsia="方正仿宋简体" w:hAnsi="Times New Roman"/>
          <w:sz w:val="32"/>
          <w:szCs w:val="32"/>
        </w:rPr>
        <w:t>3.43</w:t>
      </w:r>
      <w:r>
        <w:rPr>
          <w:rFonts w:ascii="Times New Roman" w:eastAsia="方正仿宋简体" w:hAnsi="Times New Roman"/>
          <w:sz w:val="32"/>
          <w:szCs w:val="32"/>
        </w:rPr>
        <w:t>万个</w:t>
      </w:r>
      <w:r>
        <w:rPr>
          <w:rFonts w:ascii="Times New Roman" w:eastAsia="方正仿宋简体" w:hAnsi="Times New Roman" w:hint="eastAsia"/>
          <w:sz w:val="32"/>
          <w:szCs w:val="32"/>
        </w:rPr>
        <w:t>、</w:t>
      </w:r>
      <w:r>
        <w:rPr>
          <w:rFonts w:ascii="Times New Roman" w:eastAsia="方正仿宋简体" w:hAnsi="Times New Roman"/>
          <w:sz w:val="32"/>
          <w:szCs w:val="32"/>
        </w:rPr>
        <w:t>换电站</w:t>
      </w:r>
      <w:r>
        <w:rPr>
          <w:rFonts w:ascii="Times New Roman" w:eastAsia="方正仿宋简体" w:hAnsi="Times New Roman"/>
          <w:sz w:val="32"/>
          <w:szCs w:val="32"/>
        </w:rPr>
        <w:t>500</w:t>
      </w:r>
      <w:r>
        <w:rPr>
          <w:rFonts w:ascii="Times New Roman" w:eastAsia="方正仿宋简体" w:hAnsi="Times New Roman"/>
          <w:sz w:val="32"/>
          <w:szCs w:val="32"/>
        </w:rPr>
        <w:t>座，探索形成一批可复制可推广的经验和模式，为新能源汽车全面市场化拓展和绿色低碳交通运输体系建设发挥示范带动作用。</w:t>
      </w:r>
    </w:p>
    <w:p w:rsidR="008E4FCC" w:rsidRDefault="008E4FCC" w:rsidP="008E4FCC">
      <w:pPr>
        <w:overflowPunct w:val="0"/>
        <w:adjustRightInd w:val="0"/>
        <w:snapToGrid w:val="0"/>
        <w:spacing w:line="600" w:lineRule="exact"/>
        <w:ind w:firstLineChars="200" w:firstLine="632"/>
        <w:rPr>
          <w:rFonts w:ascii="Times New Roman" w:eastAsia="方正黑体简体" w:hAnsi="Times New Roman"/>
          <w:sz w:val="32"/>
          <w:szCs w:val="32"/>
        </w:rPr>
      </w:pPr>
      <w:r>
        <w:rPr>
          <w:rFonts w:ascii="Times New Roman" w:eastAsia="方正黑体简体" w:hAnsi="Times New Roman" w:hint="eastAsia"/>
          <w:sz w:val="32"/>
          <w:szCs w:val="32"/>
        </w:rPr>
        <w:t>二</w:t>
      </w:r>
      <w:r>
        <w:rPr>
          <w:rFonts w:ascii="Times New Roman" w:eastAsia="方正黑体简体" w:hAnsi="Times New Roman"/>
          <w:sz w:val="32"/>
          <w:szCs w:val="32"/>
        </w:rPr>
        <w:t>、重点任务</w:t>
      </w:r>
    </w:p>
    <w:p w:rsidR="008E4FCC" w:rsidRDefault="008E4FCC" w:rsidP="008E4FCC">
      <w:pPr>
        <w:overflowPunct w:val="0"/>
        <w:adjustRightInd w:val="0"/>
        <w:snapToGrid w:val="0"/>
        <w:spacing w:line="600" w:lineRule="exact"/>
        <w:ind w:firstLineChars="200" w:firstLine="632"/>
        <w:rPr>
          <w:rFonts w:ascii="Times New Roman" w:eastAsia="方正仿宋简体" w:hAnsi="Times New Roman"/>
          <w:sz w:val="32"/>
          <w:szCs w:val="32"/>
        </w:rPr>
      </w:pPr>
      <w:r>
        <w:rPr>
          <w:rFonts w:ascii="Times New Roman" w:eastAsia="方正楷体简体" w:hAnsi="Times New Roman"/>
          <w:sz w:val="32"/>
          <w:szCs w:val="32"/>
        </w:rPr>
        <w:t>（一）深入推动公共领域车辆全面电动化</w:t>
      </w:r>
      <w:r>
        <w:rPr>
          <w:rFonts w:ascii="Times New Roman" w:eastAsia="方正楷体简体" w:hAnsi="Times New Roman" w:hint="eastAsia"/>
          <w:sz w:val="32"/>
          <w:szCs w:val="32"/>
        </w:rPr>
        <w:t>。</w:t>
      </w:r>
      <w:r>
        <w:rPr>
          <w:rFonts w:ascii="Times New Roman" w:eastAsia="方正仿宋简体" w:hAnsi="Times New Roman"/>
          <w:sz w:val="32"/>
          <w:szCs w:val="32"/>
        </w:rPr>
        <w:t>严格落实《成都市人民政府办公厅关于成都市促进新能源汽车产业发展的实施意</w:t>
      </w:r>
      <w:r>
        <w:rPr>
          <w:rFonts w:ascii="Times New Roman" w:eastAsia="方正仿宋简体" w:hAnsi="Times New Roman"/>
          <w:sz w:val="32"/>
          <w:szCs w:val="32"/>
        </w:rPr>
        <w:lastRenderedPageBreak/>
        <w:t>见》（成办规〔</w:t>
      </w:r>
      <w:r>
        <w:rPr>
          <w:rFonts w:ascii="Times New Roman" w:eastAsia="方正仿宋简体" w:hAnsi="Times New Roman"/>
          <w:sz w:val="32"/>
          <w:szCs w:val="32"/>
        </w:rPr>
        <w:t>2023</w:t>
      </w:r>
      <w:r>
        <w:rPr>
          <w:rFonts w:ascii="Times New Roman" w:eastAsia="方正仿宋简体" w:hAnsi="Times New Roman"/>
          <w:sz w:val="32"/>
          <w:szCs w:val="32"/>
        </w:rPr>
        <w:t>〕</w:t>
      </w:r>
      <w:r>
        <w:rPr>
          <w:rFonts w:ascii="Times New Roman" w:eastAsia="方正仿宋简体" w:hAnsi="Times New Roman"/>
          <w:sz w:val="32"/>
          <w:szCs w:val="32"/>
        </w:rPr>
        <w:t>2</w:t>
      </w:r>
      <w:r>
        <w:rPr>
          <w:rFonts w:ascii="Times New Roman" w:eastAsia="方正仿宋简体" w:hAnsi="Times New Roman"/>
          <w:sz w:val="32"/>
          <w:szCs w:val="32"/>
        </w:rPr>
        <w:t>号）、《成都市交通运输局等</w:t>
      </w:r>
      <w:r>
        <w:rPr>
          <w:rFonts w:ascii="Times New Roman" w:eastAsia="方正仿宋简体" w:hAnsi="Times New Roman"/>
          <w:sz w:val="32"/>
          <w:szCs w:val="32"/>
        </w:rPr>
        <w:t>8</w:t>
      </w:r>
      <w:r>
        <w:rPr>
          <w:rFonts w:ascii="Times New Roman" w:eastAsia="方正仿宋简体" w:hAnsi="Times New Roman"/>
          <w:sz w:val="32"/>
          <w:szCs w:val="32"/>
        </w:rPr>
        <w:t>部门关于印发成都市</w:t>
      </w:r>
      <w:r>
        <w:rPr>
          <w:rFonts w:ascii="Times New Roman" w:eastAsia="方正仿宋简体" w:hAnsi="Times New Roman"/>
          <w:sz w:val="32"/>
          <w:szCs w:val="32"/>
        </w:rPr>
        <w:t>9</w:t>
      </w:r>
      <w:r>
        <w:rPr>
          <w:rFonts w:ascii="Times New Roman" w:eastAsia="方正仿宋简体" w:hAnsi="Times New Roman"/>
          <w:sz w:val="32"/>
          <w:szCs w:val="32"/>
        </w:rPr>
        <w:t>个公共领域新能源汽车推广方案（</w:t>
      </w:r>
      <w:r>
        <w:rPr>
          <w:rFonts w:ascii="Times New Roman" w:eastAsia="方正仿宋简体" w:hAnsi="Times New Roman"/>
          <w:sz w:val="32"/>
          <w:szCs w:val="32"/>
        </w:rPr>
        <w:t>2023—2025</w:t>
      </w:r>
      <w:r>
        <w:rPr>
          <w:rFonts w:ascii="Times New Roman" w:eastAsia="方正仿宋简体" w:hAnsi="Times New Roman"/>
          <w:sz w:val="32"/>
          <w:szCs w:val="32"/>
        </w:rPr>
        <w:t>年）的通知》（成交发〔</w:t>
      </w:r>
      <w:r>
        <w:rPr>
          <w:rFonts w:ascii="Times New Roman" w:eastAsia="方正仿宋简体" w:hAnsi="Times New Roman"/>
          <w:sz w:val="32"/>
          <w:szCs w:val="32"/>
        </w:rPr>
        <w:t>2023</w:t>
      </w:r>
      <w:r>
        <w:rPr>
          <w:rFonts w:ascii="Times New Roman" w:eastAsia="方正仿宋简体" w:hAnsi="Times New Roman"/>
          <w:sz w:val="32"/>
          <w:szCs w:val="32"/>
        </w:rPr>
        <w:t>〕</w:t>
      </w:r>
      <w:r>
        <w:rPr>
          <w:rFonts w:ascii="Times New Roman" w:eastAsia="方正仿宋简体" w:hAnsi="Times New Roman"/>
          <w:sz w:val="32"/>
          <w:szCs w:val="32"/>
        </w:rPr>
        <w:t>39</w:t>
      </w:r>
      <w:r>
        <w:rPr>
          <w:rFonts w:ascii="Times New Roman" w:eastAsia="方正仿宋简体" w:hAnsi="Times New Roman"/>
          <w:sz w:val="32"/>
          <w:szCs w:val="32"/>
        </w:rPr>
        <w:t>号）等文件</w:t>
      </w:r>
      <w:r>
        <w:rPr>
          <w:rFonts w:ascii="Times New Roman" w:eastAsia="方正仿宋简体" w:hAnsi="Times New Roman" w:hint="eastAsia"/>
          <w:sz w:val="32"/>
          <w:szCs w:val="32"/>
        </w:rPr>
        <w:t>要求</w:t>
      </w:r>
      <w:r>
        <w:rPr>
          <w:rFonts w:ascii="Times New Roman" w:eastAsia="方正仿宋简体" w:hAnsi="Times New Roman"/>
          <w:sz w:val="32"/>
          <w:szCs w:val="32"/>
        </w:rPr>
        <w:t>，持续巩固公交、巡游出租、网约、城市物流配送等领域车辆电动化成果，全面提升公务用车、环卫、邮政快递、短途运输、城建物流、驾考驾培等领域车辆电动化水平，鼓励推广使用换电汽车和氢燃料电池汽车</w:t>
      </w:r>
      <w:r>
        <w:rPr>
          <w:rFonts w:ascii="Times New Roman" w:eastAsia="方正仿宋简体" w:hAnsi="Times New Roman" w:hint="eastAsia"/>
          <w:sz w:val="32"/>
          <w:szCs w:val="32"/>
        </w:rPr>
        <w:t>，强化我市新能源车型支撑，成都国际铁路港经开区推广纯电动或氢燃料电池重型短途运输车</w:t>
      </w:r>
      <w:r>
        <w:rPr>
          <w:rFonts w:ascii="Times New Roman" w:eastAsia="方正仿宋简体" w:hAnsi="Times New Roman" w:hint="eastAsia"/>
          <w:sz w:val="32"/>
          <w:szCs w:val="32"/>
        </w:rPr>
        <w:t>230</w:t>
      </w:r>
      <w:r>
        <w:rPr>
          <w:rFonts w:ascii="Times New Roman" w:eastAsia="方正仿宋简体" w:hAnsi="Times New Roman" w:hint="eastAsia"/>
          <w:sz w:val="32"/>
          <w:szCs w:val="32"/>
        </w:rPr>
        <w:t>辆</w:t>
      </w:r>
      <w:r>
        <w:rPr>
          <w:rFonts w:ascii="Times New Roman" w:eastAsia="方正仿宋简体" w:hAnsi="Times New Roman"/>
          <w:sz w:val="32"/>
          <w:szCs w:val="32"/>
        </w:rPr>
        <w:t>〔各区（市）县政府（管委会）、市级有关部门、有关单位负责〕。</w:t>
      </w:r>
    </w:p>
    <w:p w:rsidR="008E4FCC" w:rsidRDefault="008E4FCC" w:rsidP="008E4FCC">
      <w:pPr>
        <w:overflowPunct w:val="0"/>
        <w:adjustRightInd w:val="0"/>
        <w:snapToGrid w:val="0"/>
        <w:spacing w:line="600" w:lineRule="exact"/>
        <w:ind w:firstLineChars="200" w:firstLine="632"/>
        <w:rPr>
          <w:rFonts w:ascii="Times New Roman" w:eastAsia="方正楷体简体" w:hAnsi="Times New Roman"/>
          <w:sz w:val="32"/>
          <w:szCs w:val="32"/>
        </w:rPr>
      </w:pPr>
      <w:r>
        <w:rPr>
          <w:rFonts w:ascii="Times New Roman" w:eastAsia="方正仿宋简体" w:hAnsi="Times New Roman"/>
          <w:sz w:val="32"/>
          <w:szCs w:val="32"/>
        </w:rPr>
        <w:t>鼓励采取租赁等模式，加快将老旧公务及执法执勤用车、园林绿化车更新为新能源汽车（成都城投集团、成都环境集团负责）。采取集采集租、统购统营、车电分离等创新模式，推动集中化规模化换车（成都城投集团</w:t>
      </w:r>
      <w:r>
        <w:rPr>
          <w:rFonts w:ascii="Times New Roman" w:eastAsia="方正仿宋简体" w:hAnsi="Times New Roman" w:hint="eastAsia"/>
          <w:sz w:val="32"/>
          <w:szCs w:val="32"/>
        </w:rPr>
        <w:t>、成都交投集团</w:t>
      </w:r>
      <w:r>
        <w:rPr>
          <w:rFonts w:ascii="Times New Roman" w:eastAsia="方正仿宋简体" w:hAnsi="Times New Roman"/>
          <w:sz w:val="32"/>
          <w:szCs w:val="32"/>
        </w:rPr>
        <w:t>负责）。启动纯电动小型手动挡驾考车推广，支持采取租赁等模式，集中化规模化投放纯电动小型手动挡驾考车（市公安局负责）。</w:t>
      </w:r>
      <w:r>
        <w:rPr>
          <w:rFonts w:ascii="Times New Roman" w:eastAsia="方正仿宋简体" w:hAnsi="Times New Roman" w:hint="eastAsia"/>
          <w:sz w:val="32"/>
          <w:szCs w:val="32"/>
        </w:rPr>
        <w:t>鼓励</w:t>
      </w:r>
      <w:r>
        <w:rPr>
          <w:rFonts w:ascii="Times New Roman" w:eastAsia="方正仿宋简体" w:hAnsi="Times New Roman"/>
          <w:sz w:val="32"/>
          <w:szCs w:val="32"/>
        </w:rPr>
        <w:t>将现有小型燃油三轮垃圾收集车更换为密闭良好的集装箱式电动三轮车或微型新能源箱式车，鼓励采取租赁等模式推广纯电动或燃料电池环卫车（成都城投集团、成都交投集团、成都环境集团负责）。</w:t>
      </w:r>
    </w:p>
    <w:p w:rsidR="008E4FCC" w:rsidRDefault="008E4FCC" w:rsidP="008E4FCC">
      <w:pPr>
        <w:overflowPunct w:val="0"/>
        <w:adjustRightInd w:val="0"/>
        <w:snapToGrid w:val="0"/>
        <w:spacing w:line="600" w:lineRule="exact"/>
        <w:ind w:firstLineChars="200" w:firstLine="632"/>
        <w:rPr>
          <w:rFonts w:ascii="Times New Roman" w:eastAsia="方正仿宋简体" w:hAnsi="Times New Roman"/>
          <w:sz w:val="32"/>
          <w:szCs w:val="32"/>
        </w:rPr>
      </w:pPr>
      <w:r>
        <w:rPr>
          <w:rFonts w:ascii="Times New Roman" w:eastAsia="方正楷体简体" w:hAnsi="Times New Roman"/>
          <w:sz w:val="32"/>
          <w:szCs w:val="32"/>
        </w:rPr>
        <w:t>（二）持续完善充换电基础设施服务体系</w:t>
      </w:r>
      <w:r>
        <w:rPr>
          <w:rFonts w:ascii="Times New Roman" w:eastAsia="方正楷体简体" w:hAnsi="Times New Roman" w:hint="eastAsia"/>
          <w:sz w:val="32"/>
          <w:szCs w:val="32"/>
        </w:rPr>
        <w:t>。</w:t>
      </w:r>
      <w:r>
        <w:rPr>
          <w:rFonts w:ascii="Times New Roman" w:eastAsia="方正仿宋简体" w:hAnsi="Times New Roman"/>
          <w:sz w:val="32"/>
          <w:szCs w:val="32"/>
        </w:rPr>
        <w:t>严格落实</w:t>
      </w:r>
      <w:r>
        <w:rPr>
          <w:rFonts w:ascii="Times New Roman" w:eastAsia="方正仿宋简体" w:hAnsi="Times New Roman" w:hint="eastAsia"/>
          <w:sz w:val="32"/>
          <w:szCs w:val="32"/>
        </w:rPr>
        <w:t>我市</w:t>
      </w:r>
      <w:r>
        <w:rPr>
          <w:rFonts w:ascii="Times New Roman" w:eastAsia="方正仿宋简体" w:hAnsi="Times New Roman"/>
          <w:sz w:val="32"/>
          <w:szCs w:val="32"/>
        </w:rPr>
        <w:t>充换电基础设施</w:t>
      </w:r>
      <w:r>
        <w:rPr>
          <w:rFonts w:ascii="Times New Roman" w:eastAsia="方正仿宋简体" w:hAnsi="Times New Roman" w:hint="eastAsia"/>
          <w:sz w:val="32"/>
          <w:szCs w:val="32"/>
        </w:rPr>
        <w:t>规划</w:t>
      </w:r>
      <w:r>
        <w:rPr>
          <w:rFonts w:ascii="Times New Roman" w:eastAsia="方正仿宋简体" w:hAnsi="Times New Roman"/>
          <w:sz w:val="32"/>
          <w:szCs w:val="32"/>
        </w:rPr>
        <w:t>要求，优化完善充电基础设施布局，提升充换电设施场站利用率，加快推进居民小区有序充电设施建设，补齐乡镇农村充电设施短板，构建高效完善的公共充电服务网络，有</w:t>
      </w:r>
      <w:r>
        <w:rPr>
          <w:rFonts w:ascii="Times New Roman" w:eastAsia="方正仿宋简体" w:hAnsi="Times New Roman"/>
          <w:sz w:val="32"/>
          <w:szCs w:val="32"/>
        </w:rPr>
        <w:lastRenderedPageBreak/>
        <w:t>力推进换电模式应用试点〔各区（市）县政府（管委会）、市级有关部门、相关单位负责〕。改造升级市级平台软硬件水平，推进企业平台与</w:t>
      </w:r>
      <w:r>
        <w:rPr>
          <w:rFonts w:ascii="Times New Roman" w:eastAsia="方正仿宋简体" w:hAnsi="Times New Roman" w:hint="eastAsia"/>
          <w:sz w:val="32"/>
          <w:szCs w:val="32"/>
        </w:rPr>
        <w:t>市级</w:t>
      </w:r>
      <w:r>
        <w:rPr>
          <w:rFonts w:ascii="Times New Roman" w:eastAsia="方正仿宋简体" w:hAnsi="Times New Roman"/>
          <w:sz w:val="32"/>
          <w:szCs w:val="32"/>
        </w:rPr>
        <w:t>平台</w:t>
      </w:r>
      <w:r>
        <w:rPr>
          <w:rFonts w:ascii="方正仿宋简体" w:eastAsia="方正仿宋简体" w:hAnsi="Times New Roman" w:hint="eastAsia"/>
          <w:sz w:val="32"/>
          <w:szCs w:val="32"/>
        </w:rPr>
        <w:t>“</w:t>
      </w:r>
      <w:r>
        <w:rPr>
          <w:rFonts w:ascii="Times New Roman" w:eastAsia="方正仿宋简体" w:hAnsi="Times New Roman"/>
          <w:sz w:val="32"/>
          <w:szCs w:val="32"/>
        </w:rPr>
        <w:t>蓉城充</w:t>
      </w:r>
      <w:r>
        <w:rPr>
          <w:rFonts w:ascii="方正仿宋简体" w:eastAsia="方正仿宋简体" w:hAnsi="Times New Roman" w:hint="eastAsia"/>
          <w:sz w:val="32"/>
          <w:szCs w:val="32"/>
        </w:rPr>
        <w:t>”的</w:t>
      </w:r>
      <w:r>
        <w:rPr>
          <w:rFonts w:ascii="Times New Roman" w:eastAsia="方正仿宋简体" w:hAnsi="Times New Roman"/>
          <w:sz w:val="32"/>
          <w:szCs w:val="32"/>
        </w:rPr>
        <w:t>互联互通，推动跨平台、多渠道支付结算，打造全市充换电服务一张网，</w:t>
      </w:r>
      <w:r>
        <w:rPr>
          <w:rFonts w:ascii="Times New Roman" w:eastAsia="方正仿宋简体" w:hAnsi="Times New Roman" w:hint="eastAsia"/>
          <w:sz w:val="32"/>
          <w:szCs w:val="32"/>
        </w:rPr>
        <w:t>制定全市</w:t>
      </w:r>
      <w:r>
        <w:rPr>
          <w:rFonts w:ascii="Times New Roman" w:eastAsia="方正仿宋简体" w:hAnsi="Times New Roman"/>
          <w:sz w:val="32"/>
          <w:szCs w:val="32"/>
        </w:rPr>
        <w:t>充换电场站及设施线上线下统一标识标牌</w:t>
      </w:r>
      <w:r>
        <w:rPr>
          <w:rFonts w:ascii="Times New Roman" w:eastAsia="方正仿宋简体" w:hAnsi="Times New Roman" w:hint="eastAsia"/>
          <w:sz w:val="32"/>
          <w:szCs w:val="32"/>
        </w:rPr>
        <w:t>，</w:t>
      </w:r>
      <w:r>
        <w:rPr>
          <w:rFonts w:ascii="Times New Roman" w:eastAsia="方正仿宋简体" w:hAnsi="Times New Roman"/>
          <w:sz w:val="32"/>
          <w:szCs w:val="32"/>
        </w:rPr>
        <w:t>提升充换电便利性和用户体验</w:t>
      </w:r>
      <w:r>
        <w:rPr>
          <w:rFonts w:ascii="Times New Roman" w:eastAsia="方正仿宋简体" w:hAnsi="Times New Roman" w:hint="eastAsia"/>
          <w:sz w:val="32"/>
          <w:szCs w:val="32"/>
        </w:rPr>
        <w:t>，推动我市充换电等</w:t>
      </w:r>
      <w:r>
        <w:rPr>
          <w:rFonts w:ascii="Times New Roman" w:eastAsia="方正仿宋简体" w:hAnsi="Times New Roman"/>
          <w:sz w:val="32"/>
          <w:szCs w:val="32"/>
        </w:rPr>
        <w:t>新型电力系统装备产业发展，</w:t>
      </w:r>
      <w:r>
        <w:rPr>
          <w:rFonts w:ascii="Times New Roman" w:eastAsia="方正仿宋简体" w:hAnsi="Times New Roman" w:hint="eastAsia"/>
          <w:sz w:val="32"/>
          <w:szCs w:val="32"/>
        </w:rPr>
        <w:t>支撑</w:t>
      </w:r>
      <w:r>
        <w:rPr>
          <w:rFonts w:ascii="Times New Roman" w:eastAsia="方正仿宋简体" w:hAnsi="Times New Roman"/>
          <w:sz w:val="32"/>
          <w:szCs w:val="32"/>
        </w:rPr>
        <w:t>充换电</w:t>
      </w:r>
      <w:r>
        <w:rPr>
          <w:rFonts w:ascii="Times New Roman" w:eastAsia="方正仿宋简体" w:hAnsi="Times New Roman" w:hint="eastAsia"/>
          <w:sz w:val="32"/>
          <w:szCs w:val="32"/>
        </w:rPr>
        <w:t>等基础</w:t>
      </w:r>
      <w:r>
        <w:rPr>
          <w:rFonts w:ascii="Times New Roman" w:eastAsia="方正仿宋简体" w:hAnsi="Times New Roman"/>
          <w:sz w:val="32"/>
          <w:szCs w:val="32"/>
        </w:rPr>
        <w:t>设施</w:t>
      </w:r>
      <w:r>
        <w:rPr>
          <w:rFonts w:ascii="Times New Roman" w:eastAsia="方正仿宋简体" w:hAnsi="Times New Roman" w:hint="eastAsia"/>
          <w:sz w:val="32"/>
          <w:szCs w:val="32"/>
        </w:rPr>
        <w:t>建设</w:t>
      </w:r>
      <w:r>
        <w:rPr>
          <w:rFonts w:ascii="Times New Roman" w:eastAsia="方正仿宋简体" w:hAnsi="Times New Roman"/>
          <w:sz w:val="32"/>
          <w:szCs w:val="32"/>
        </w:rPr>
        <w:t>（市经信局市新经济委负责）。</w:t>
      </w:r>
    </w:p>
    <w:p w:rsidR="008E4FCC" w:rsidRDefault="008E4FCC" w:rsidP="008E4FCC">
      <w:pPr>
        <w:overflowPunct w:val="0"/>
        <w:adjustRightInd w:val="0"/>
        <w:snapToGrid w:val="0"/>
        <w:spacing w:line="600" w:lineRule="exact"/>
        <w:ind w:firstLineChars="200" w:firstLine="632"/>
        <w:rPr>
          <w:rFonts w:ascii="Times New Roman" w:eastAsia="方正仿宋简体" w:hAnsi="Times New Roman"/>
          <w:sz w:val="32"/>
          <w:szCs w:val="32"/>
        </w:rPr>
      </w:pPr>
      <w:r>
        <w:rPr>
          <w:rFonts w:ascii="Times New Roman" w:eastAsia="方正仿宋简体" w:hAnsi="Times New Roman"/>
          <w:sz w:val="32"/>
          <w:szCs w:val="32"/>
        </w:rPr>
        <w:t>简化换电站投资建设运营备案流程</w:t>
      </w:r>
      <w:r>
        <w:rPr>
          <w:rFonts w:ascii="Times New Roman" w:eastAsia="方正仿宋简体" w:hAnsi="Times New Roman" w:hint="eastAsia"/>
          <w:sz w:val="32"/>
          <w:szCs w:val="32"/>
        </w:rPr>
        <w:t>及所需要件，</w:t>
      </w:r>
      <w:r>
        <w:rPr>
          <w:rFonts w:ascii="Times New Roman" w:eastAsia="方正仿宋简体" w:hAnsi="Times New Roman"/>
          <w:sz w:val="32"/>
          <w:szCs w:val="32"/>
        </w:rPr>
        <w:t>加大所需地块等资源的</w:t>
      </w:r>
      <w:r>
        <w:rPr>
          <w:rFonts w:ascii="Times New Roman" w:eastAsia="方正仿宋简体" w:hAnsi="Times New Roman" w:hint="eastAsia"/>
          <w:sz w:val="32"/>
          <w:szCs w:val="32"/>
        </w:rPr>
        <w:t>协调</w:t>
      </w:r>
      <w:r>
        <w:rPr>
          <w:rFonts w:ascii="Times New Roman" w:eastAsia="方正仿宋简体" w:hAnsi="Times New Roman"/>
          <w:sz w:val="32"/>
          <w:szCs w:val="32"/>
        </w:rPr>
        <w:t>支持</w:t>
      </w:r>
      <w:r>
        <w:rPr>
          <w:rFonts w:ascii="Times New Roman" w:eastAsia="方正仿宋简体" w:hAnsi="Times New Roman" w:hint="eastAsia"/>
          <w:sz w:val="32"/>
          <w:szCs w:val="32"/>
        </w:rPr>
        <w:t>力度；</w:t>
      </w:r>
      <w:r>
        <w:rPr>
          <w:rFonts w:ascii="Times New Roman" w:eastAsia="方正仿宋简体" w:hAnsi="Times New Roman"/>
          <w:sz w:val="32"/>
          <w:szCs w:val="32"/>
        </w:rPr>
        <w:t>鼓励充分利用闲置地块</w:t>
      </w:r>
      <w:r>
        <w:rPr>
          <w:rFonts w:ascii="Times New Roman" w:eastAsia="方正仿宋简体" w:hAnsi="Times New Roman" w:hint="eastAsia"/>
          <w:sz w:val="32"/>
          <w:szCs w:val="32"/>
        </w:rPr>
        <w:t>，</w:t>
      </w:r>
      <w:r>
        <w:rPr>
          <w:rFonts w:ascii="Times New Roman" w:eastAsia="方正仿宋简体" w:hAnsi="Times New Roman"/>
          <w:sz w:val="32"/>
          <w:szCs w:val="32"/>
        </w:rPr>
        <w:t>社会停车场、加油加气站和公园、绿道、景区配套停车场等公共资源空间，公交、环卫、物流、驾考驾培等内部专用停车场</w:t>
      </w:r>
      <w:r>
        <w:rPr>
          <w:rFonts w:ascii="Times New Roman" w:eastAsia="方正仿宋简体" w:hAnsi="Times New Roman" w:hint="eastAsia"/>
          <w:sz w:val="32"/>
          <w:szCs w:val="32"/>
        </w:rPr>
        <w:t>，</w:t>
      </w:r>
      <w:r>
        <w:rPr>
          <w:rFonts w:ascii="Times New Roman" w:eastAsia="方正仿宋简体" w:hAnsi="Times New Roman"/>
          <w:sz w:val="32"/>
          <w:szCs w:val="32"/>
        </w:rPr>
        <w:t>结合旧城改造、停车位改建、道路改建等工程建设</w:t>
      </w:r>
      <w:r>
        <w:rPr>
          <w:rFonts w:ascii="Times New Roman" w:eastAsia="方正仿宋简体" w:hAnsi="Times New Roman" w:hint="eastAsia"/>
          <w:sz w:val="32"/>
          <w:szCs w:val="32"/>
        </w:rPr>
        <w:t>充</w:t>
      </w:r>
      <w:r>
        <w:rPr>
          <w:rFonts w:ascii="Times New Roman" w:eastAsia="方正仿宋简体" w:hAnsi="Times New Roman"/>
          <w:sz w:val="32"/>
          <w:szCs w:val="32"/>
        </w:rPr>
        <w:t>换电站</w:t>
      </w:r>
      <w:r>
        <w:rPr>
          <w:rFonts w:ascii="Times New Roman" w:eastAsia="方正仿宋简体" w:hAnsi="Times New Roman" w:hint="eastAsia"/>
          <w:sz w:val="32"/>
          <w:szCs w:val="32"/>
        </w:rPr>
        <w:t>；</w:t>
      </w:r>
      <w:r>
        <w:rPr>
          <w:rFonts w:ascii="Times New Roman" w:eastAsia="方正仿宋简体" w:hAnsi="Times New Roman"/>
          <w:sz w:val="32"/>
          <w:szCs w:val="32"/>
        </w:rPr>
        <w:t>支持加油、加气站新建一批集充换电、加油等多位一体的综合能源服务站</w:t>
      </w:r>
      <w:r>
        <w:rPr>
          <w:rFonts w:ascii="Times New Roman" w:eastAsia="方正仿宋简体" w:hAnsi="Times New Roman" w:hint="eastAsia"/>
          <w:sz w:val="32"/>
          <w:szCs w:val="32"/>
        </w:rPr>
        <w:t>；</w:t>
      </w:r>
      <w:r>
        <w:rPr>
          <w:rFonts w:ascii="Times New Roman" w:eastAsia="方正仿宋简体" w:hAnsi="Times New Roman"/>
          <w:bCs/>
          <w:sz w:val="32"/>
          <w:szCs w:val="32"/>
        </w:rPr>
        <w:t>推进高速公路服务区及普通公路充换电基础设施建设</w:t>
      </w:r>
      <w:r>
        <w:rPr>
          <w:rFonts w:ascii="Times New Roman" w:eastAsia="方正仿宋简体" w:hAnsi="Times New Roman" w:hint="eastAsia"/>
          <w:bCs/>
          <w:sz w:val="32"/>
          <w:szCs w:val="32"/>
        </w:rPr>
        <w:t>，</w:t>
      </w:r>
      <w:r>
        <w:rPr>
          <w:rFonts w:ascii="Times New Roman" w:eastAsia="方正仿宋简体" w:hAnsi="Times New Roman"/>
          <w:sz w:val="32"/>
          <w:szCs w:val="32"/>
        </w:rPr>
        <w:t>市管高速公路服务区</w:t>
      </w:r>
      <w:r>
        <w:rPr>
          <w:rFonts w:ascii="Times New Roman" w:eastAsia="方正仿宋简体" w:hAnsi="Times New Roman"/>
          <w:sz w:val="32"/>
          <w:szCs w:val="32"/>
        </w:rPr>
        <w:t>100%</w:t>
      </w:r>
      <w:r>
        <w:rPr>
          <w:rFonts w:ascii="Times New Roman" w:eastAsia="方正仿宋简体" w:hAnsi="Times New Roman"/>
          <w:sz w:val="32"/>
          <w:szCs w:val="32"/>
        </w:rPr>
        <w:t>实现快充站</w:t>
      </w:r>
      <w:r>
        <w:rPr>
          <w:rFonts w:ascii="方正仿宋简体" w:eastAsia="方正仿宋简体" w:hAnsi="Times New Roman" w:hint="eastAsia"/>
          <w:sz w:val="32"/>
          <w:szCs w:val="32"/>
        </w:rPr>
        <w:t>“</w:t>
      </w:r>
      <w:r>
        <w:rPr>
          <w:rFonts w:ascii="Times New Roman" w:eastAsia="方正仿宋简体" w:hAnsi="Times New Roman"/>
          <w:sz w:val="32"/>
          <w:szCs w:val="32"/>
        </w:rPr>
        <w:t>应建尽建</w:t>
      </w:r>
      <w:r>
        <w:rPr>
          <w:rFonts w:ascii="方正仿宋简体" w:eastAsia="方正仿宋简体" w:hAnsi="Times New Roman" w:hint="eastAsia"/>
          <w:sz w:val="32"/>
          <w:szCs w:val="32"/>
        </w:rPr>
        <w:t>”</w:t>
      </w:r>
      <w:r>
        <w:rPr>
          <w:rFonts w:ascii="Times New Roman" w:eastAsia="方正仿宋简体" w:hAnsi="Times New Roman" w:hint="eastAsia"/>
          <w:sz w:val="32"/>
          <w:szCs w:val="32"/>
        </w:rPr>
        <w:t>；</w:t>
      </w:r>
      <w:r>
        <w:rPr>
          <w:rFonts w:ascii="Times New Roman" w:eastAsia="方正仿宋简体" w:hAnsi="Times New Roman"/>
          <w:sz w:val="32"/>
          <w:szCs w:val="32"/>
        </w:rPr>
        <w:t>统筹推进公用充电站</w:t>
      </w:r>
      <w:r>
        <w:rPr>
          <w:rFonts w:ascii="方正仿宋简体" w:eastAsia="方正仿宋简体" w:hAnsi="Times New Roman" w:hint="eastAsia"/>
          <w:sz w:val="32"/>
          <w:szCs w:val="32"/>
        </w:rPr>
        <w:t>“</w:t>
      </w:r>
      <w:r>
        <w:rPr>
          <w:rFonts w:ascii="Times New Roman" w:eastAsia="方正仿宋简体" w:hAnsi="Times New Roman"/>
          <w:sz w:val="32"/>
          <w:szCs w:val="32"/>
        </w:rPr>
        <w:t>县县全覆盖</w:t>
      </w:r>
      <w:r>
        <w:rPr>
          <w:rFonts w:ascii="方正仿宋简体" w:eastAsia="方正仿宋简体" w:hAnsi="Times New Roman" w:hint="eastAsia"/>
          <w:sz w:val="32"/>
          <w:szCs w:val="32"/>
        </w:rPr>
        <w:t>”</w:t>
      </w:r>
      <w:r>
        <w:rPr>
          <w:rFonts w:ascii="Times New Roman" w:eastAsia="方正仿宋简体" w:hAnsi="Times New Roman"/>
          <w:sz w:val="32"/>
          <w:szCs w:val="32"/>
        </w:rPr>
        <w:t>、公用桩</w:t>
      </w:r>
      <w:r>
        <w:rPr>
          <w:rFonts w:ascii="方正仿宋简体" w:eastAsia="方正仿宋简体" w:hAnsi="Times New Roman" w:hint="eastAsia"/>
          <w:sz w:val="32"/>
          <w:szCs w:val="32"/>
        </w:rPr>
        <w:t>“</w:t>
      </w:r>
      <w:r>
        <w:rPr>
          <w:rFonts w:ascii="Times New Roman" w:eastAsia="方正仿宋简体" w:hAnsi="Times New Roman"/>
          <w:sz w:val="32"/>
          <w:szCs w:val="32"/>
        </w:rPr>
        <w:t>乡乡全覆盖</w:t>
      </w:r>
      <w:r>
        <w:rPr>
          <w:rFonts w:ascii="方正仿宋简体" w:eastAsia="方正仿宋简体" w:hAnsi="Times New Roman" w:hint="eastAsia"/>
          <w:sz w:val="32"/>
          <w:szCs w:val="32"/>
        </w:rPr>
        <w:t>”</w:t>
      </w:r>
      <w:r>
        <w:rPr>
          <w:rFonts w:ascii="Times New Roman" w:eastAsia="方正仿宋简体" w:hAnsi="Times New Roman"/>
          <w:sz w:val="32"/>
          <w:szCs w:val="32"/>
        </w:rPr>
        <w:t>，将农村地区充电基础设施建设纳入</w:t>
      </w:r>
      <w:r>
        <w:rPr>
          <w:rFonts w:ascii="方正仿宋简体" w:eastAsia="方正仿宋简体" w:hAnsi="Times New Roman" w:hint="eastAsia"/>
          <w:sz w:val="32"/>
          <w:szCs w:val="32"/>
        </w:rPr>
        <w:t>“</w:t>
      </w:r>
      <w:r>
        <w:rPr>
          <w:rFonts w:ascii="Times New Roman" w:eastAsia="方正仿宋简体" w:hAnsi="Times New Roman"/>
          <w:sz w:val="32"/>
          <w:szCs w:val="32"/>
        </w:rPr>
        <w:t>村村通工程</w:t>
      </w:r>
      <w:r>
        <w:rPr>
          <w:rFonts w:ascii="方正仿宋简体" w:eastAsia="方正仿宋简体" w:hAnsi="Times New Roman" w:hint="eastAsia"/>
          <w:sz w:val="32"/>
          <w:szCs w:val="32"/>
        </w:rPr>
        <w:t>”</w:t>
      </w:r>
      <w:r>
        <w:rPr>
          <w:rFonts w:ascii="Times New Roman" w:eastAsia="方正仿宋简体" w:hAnsi="Times New Roman"/>
          <w:sz w:val="32"/>
          <w:szCs w:val="32"/>
        </w:rPr>
        <w:t>，鼓励在乡镇、农民集中居住区和村组公共场所建设公共充电基础设施</w:t>
      </w:r>
      <w:r>
        <w:rPr>
          <w:rFonts w:ascii="Times New Roman" w:eastAsia="方正仿宋简体" w:hAnsi="Times New Roman" w:hint="eastAsia"/>
          <w:sz w:val="32"/>
          <w:szCs w:val="32"/>
        </w:rPr>
        <w:t>；</w:t>
      </w:r>
      <w:r>
        <w:rPr>
          <w:rFonts w:ascii="Times New Roman" w:eastAsia="方正仿宋简体" w:hAnsi="Times New Roman" w:hint="eastAsia"/>
          <w:bCs/>
          <w:sz w:val="32"/>
          <w:szCs w:val="32"/>
        </w:rPr>
        <w:t>扩大</w:t>
      </w:r>
      <w:r>
        <w:rPr>
          <w:rFonts w:ascii="Times New Roman" w:eastAsia="方正仿宋简体" w:hAnsi="Times New Roman" w:hint="eastAsia"/>
          <w:sz w:val="32"/>
          <w:szCs w:val="32"/>
        </w:rPr>
        <w:t>居民小区</w:t>
      </w:r>
      <w:r>
        <w:rPr>
          <w:rFonts w:ascii="方正仿宋简体" w:eastAsia="方正仿宋简体" w:hAnsi="Times New Roman" w:hint="eastAsia"/>
          <w:sz w:val="32"/>
          <w:szCs w:val="32"/>
        </w:rPr>
        <w:t>“</w:t>
      </w:r>
      <w:r>
        <w:rPr>
          <w:rFonts w:ascii="Times New Roman" w:eastAsia="方正仿宋简体" w:hAnsi="Times New Roman"/>
          <w:sz w:val="32"/>
          <w:szCs w:val="32"/>
        </w:rPr>
        <w:t>统建统服</w:t>
      </w:r>
      <w:r>
        <w:rPr>
          <w:rFonts w:ascii="方正仿宋简体" w:eastAsia="方正仿宋简体" w:hAnsi="Times New Roman" w:hint="eastAsia"/>
          <w:sz w:val="32"/>
          <w:szCs w:val="32"/>
        </w:rPr>
        <w:t>”</w:t>
      </w:r>
      <w:r>
        <w:rPr>
          <w:rFonts w:ascii="Times New Roman" w:eastAsia="方正仿宋简体" w:hAnsi="Times New Roman"/>
          <w:sz w:val="32"/>
          <w:szCs w:val="32"/>
        </w:rPr>
        <w:t>模式</w:t>
      </w:r>
      <w:r>
        <w:rPr>
          <w:rFonts w:ascii="Times New Roman" w:eastAsia="方正仿宋简体" w:hAnsi="Times New Roman" w:hint="eastAsia"/>
          <w:sz w:val="32"/>
          <w:szCs w:val="32"/>
        </w:rPr>
        <w:t>应用范围</w:t>
      </w:r>
      <w:r>
        <w:rPr>
          <w:rFonts w:ascii="Times New Roman" w:eastAsia="方正仿宋简体" w:hAnsi="Times New Roman"/>
          <w:sz w:val="32"/>
          <w:szCs w:val="32"/>
        </w:rPr>
        <w:t>，</w:t>
      </w:r>
      <w:r>
        <w:rPr>
          <w:rFonts w:ascii="Times New Roman" w:eastAsia="方正仿宋简体" w:hAnsi="Times New Roman" w:hint="eastAsia"/>
          <w:sz w:val="32"/>
          <w:szCs w:val="32"/>
        </w:rPr>
        <w:t>并</w:t>
      </w:r>
      <w:r>
        <w:rPr>
          <w:rFonts w:ascii="Times New Roman" w:eastAsia="方正仿宋简体" w:hAnsi="Times New Roman"/>
          <w:sz w:val="32"/>
          <w:szCs w:val="32"/>
        </w:rPr>
        <w:t>统一接入</w:t>
      </w:r>
      <w:r>
        <w:rPr>
          <w:rFonts w:ascii="Times New Roman" w:eastAsia="方正仿宋简体" w:hAnsi="Times New Roman" w:hint="eastAsia"/>
          <w:sz w:val="32"/>
          <w:szCs w:val="32"/>
        </w:rPr>
        <w:t>市级</w:t>
      </w:r>
      <w:r>
        <w:rPr>
          <w:rFonts w:ascii="Times New Roman" w:eastAsia="方正仿宋简体" w:hAnsi="Times New Roman"/>
          <w:sz w:val="32"/>
          <w:szCs w:val="32"/>
        </w:rPr>
        <w:t>平台并纳入考核，新建</w:t>
      </w:r>
      <w:r>
        <w:rPr>
          <w:rFonts w:ascii="Times New Roman" w:eastAsia="方正仿宋简体" w:hAnsi="Times New Roman" w:hint="eastAsia"/>
          <w:sz w:val="32"/>
          <w:szCs w:val="32"/>
        </w:rPr>
        <w:t>居民</w:t>
      </w:r>
      <w:r>
        <w:rPr>
          <w:rFonts w:ascii="Times New Roman" w:eastAsia="方正仿宋简体" w:hAnsi="Times New Roman"/>
          <w:sz w:val="32"/>
          <w:szCs w:val="32"/>
        </w:rPr>
        <w:t>自用有序充电桩</w:t>
      </w:r>
      <w:r>
        <w:rPr>
          <w:rFonts w:ascii="Times New Roman" w:eastAsia="方正仿宋简体" w:hAnsi="Times New Roman"/>
          <w:sz w:val="32"/>
          <w:szCs w:val="32"/>
        </w:rPr>
        <w:t>3.5</w:t>
      </w:r>
      <w:r>
        <w:rPr>
          <w:rFonts w:ascii="Times New Roman" w:eastAsia="方正仿宋简体" w:hAnsi="Times New Roman"/>
          <w:sz w:val="32"/>
          <w:szCs w:val="32"/>
        </w:rPr>
        <w:t>万个，新增</w:t>
      </w:r>
      <w:r>
        <w:rPr>
          <w:rFonts w:ascii="方正仿宋简体" w:eastAsia="方正仿宋简体" w:hAnsi="Times New Roman" w:hint="eastAsia"/>
          <w:sz w:val="32"/>
          <w:szCs w:val="32"/>
        </w:rPr>
        <w:t>“</w:t>
      </w:r>
      <w:r>
        <w:rPr>
          <w:rFonts w:ascii="Times New Roman" w:eastAsia="方正仿宋简体" w:hAnsi="Times New Roman"/>
          <w:sz w:val="32"/>
          <w:szCs w:val="32"/>
        </w:rPr>
        <w:t>统建统服</w:t>
      </w:r>
      <w:r>
        <w:rPr>
          <w:rFonts w:ascii="方正仿宋简体" w:eastAsia="方正仿宋简体" w:hAnsi="Times New Roman" w:hint="eastAsia"/>
          <w:sz w:val="32"/>
          <w:szCs w:val="32"/>
        </w:rPr>
        <w:t>”</w:t>
      </w:r>
      <w:r>
        <w:rPr>
          <w:rFonts w:ascii="Times New Roman" w:eastAsia="方正仿宋简体" w:hAnsi="Times New Roman"/>
          <w:sz w:val="32"/>
          <w:szCs w:val="32"/>
        </w:rPr>
        <w:t>智慧小区</w:t>
      </w:r>
      <w:r>
        <w:rPr>
          <w:rFonts w:ascii="Times New Roman" w:eastAsia="方正仿宋简体" w:hAnsi="Times New Roman"/>
          <w:sz w:val="32"/>
          <w:szCs w:val="32"/>
        </w:rPr>
        <w:t>2000</w:t>
      </w:r>
      <w:r>
        <w:rPr>
          <w:rFonts w:ascii="Times New Roman" w:eastAsia="方正仿宋简体" w:hAnsi="Times New Roman"/>
          <w:sz w:val="32"/>
          <w:szCs w:val="32"/>
        </w:rPr>
        <w:t>个〔各区（市）县政府（管委会）</w:t>
      </w:r>
      <w:r>
        <w:rPr>
          <w:rFonts w:ascii="Times New Roman" w:eastAsia="方正仿宋简体" w:hAnsi="Times New Roman" w:hint="eastAsia"/>
          <w:sz w:val="32"/>
          <w:szCs w:val="32"/>
        </w:rPr>
        <w:t>、</w:t>
      </w:r>
      <w:r>
        <w:rPr>
          <w:rFonts w:ascii="Times New Roman" w:eastAsia="方正仿宋简体" w:hAnsi="Times New Roman"/>
          <w:sz w:val="32"/>
          <w:szCs w:val="32"/>
        </w:rPr>
        <w:t>成都城投集团、成都交投集团负责〕</w:t>
      </w:r>
      <w:r>
        <w:rPr>
          <w:rFonts w:ascii="Times New Roman" w:eastAsia="方正仿宋简体" w:hAnsi="Times New Roman" w:hint="eastAsia"/>
          <w:sz w:val="32"/>
          <w:szCs w:val="32"/>
        </w:rPr>
        <w:t>。</w:t>
      </w:r>
    </w:p>
    <w:p w:rsidR="008E4FCC" w:rsidRDefault="008E4FCC" w:rsidP="008E4FCC">
      <w:pPr>
        <w:overflowPunct w:val="0"/>
        <w:adjustRightInd w:val="0"/>
        <w:snapToGrid w:val="0"/>
        <w:spacing w:line="600" w:lineRule="exact"/>
        <w:ind w:firstLineChars="200" w:firstLine="632"/>
        <w:rPr>
          <w:rFonts w:ascii="Times New Roman" w:eastAsia="方正仿宋简体" w:hAnsi="Times New Roman"/>
          <w:sz w:val="32"/>
          <w:szCs w:val="32"/>
        </w:rPr>
      </w:pPr>
      <w:r>
        <w:rPr>
          <w:rFonts w:ascii="Times New Roman" w:eastAsia="方正楷体简体" w:hAnsi="Times New Roman"/>
          <w:sz w:val="32"/>
          <w:szCs w:val="32"/>
        </w:rPr>
        <w:t>（三）推动新技术新模式创新应用</w:t>
      </w:r>
      <w:r>
        <w:rPr>
          <w:rFonts w:ascii="Times New Roman" w:eastAsia="方正楷体简体" w:hAnsi="Times New Roman" w:hint="eastAsia"/>
          <w:sz w:val="32"/>
          <w:szCs w:val="32"/>
        </w:rPr>
        <w:t>。</w:t>
      </w:r>
      <w:r>
        <w:rPr>
          <w:rFonts w:ascii="Times New Roman" w:eastAsia="方正仿宋简体" w:hAnsi="Times New Roman"/>
          <w:bCs/>
          <w:sz w:val="32"/>
          <w:szCs w:val="32"/>
        </w:rPr>
        <w:t>稳步推进大功率充电</w:t>
      </w:r>
      <w:r>
        <w:rPr>
          <w:rFonts w:ascii="Times New Roman" w:eastAsia="方正仿宋简体" w:hAnsi="Times New Roman" w:hint="eastAsia"/>
          <w:bCs/>
          <w:sz w:val="32"/>
          <w:szCs w:val="32"/>
        </w:rPr>
        <w:t>技</w:t>
      </w:r>
      <w:r>
        <w:rPr>
          <w:rFonts w:ascii="Times New Roman" w:eastAsia="方正仿宋简体" w:hAnsi="Times New Roman" w:hint="eastAsia"/>
          <w:bCs/>
          <w:sz w:val="32"/>
          <w:szCs w:val="32"/>
        </w:rPr>
        <w:lastRenderedPageBreak/>
        <w:t>术应用，</w:t>
      </w:r>
      <w:r>
        <w:rPr>
          <w:rFonts w:ascii="Times New Roman" w:eastAsia="方正仿宋简体" w:hAnsi="Times New Roman"/>
          <w:sz w:val="32"/>
          <w:szCs w:val="32"/>
        </w:rPr>
        <w:t>鼓励</w:t>
      </w:r>
      <w:r>
        <w:rPr>
          <w:rFonts w:ascii="Times New Roman" w:eastAsia="方正仿宋简体" w:hAnsi="Times New Roman" w:hint="eastAsia"/>
          <w:sz w:val="32"/>
          <w:szCs w:val="32"/>
        </w:rPr>
        <w:t>充电企业</w:t>
      </w:r>
      <w:r>
        <w:rPr>
          <w:rFonts w:ascii="Times New Roman" w:eastAsia="方正仿宋简体" w:hAnsi="Times New Roman"/>
          <w:sz w:val="32"/>
          <w:szCs w:val="32"/>
        </w:rPr>
        <w:t>配备</w:t>
      </w:r>
      <w:r>
        <w:rPr>
          <w:rFonts w:ascii="Times New Roman" w:eastAsia="方正仿宋简体" w:hAnsi="Times New Roman" w:hint="eastAsia"/>
          <w:sz w:val="32"/>
          <w:szCs w:val="32"/>
        </w:rPr>
        <w:t>伴随、</w:t>
      </w:r>
      <w:r>
        <w:rPr>
          <w:rFonts w:ascii="Times New Roman" w:eastAsia="方正仿宋简体" w:hAnsi="Times New Roman"/>
          <w:sz w:val="32"/>
          <w:szCs w:val="32"/>
        </w:rPr>
        <w:t>应急充电设施</w:t>
      </w:r>
      <w:r>
        <w:rPr>
          <w:rFonts w:ascii="Times New Roman" w:eastAsia="方正仿宋简体" w:hAnsi="Times New Roman" w:hint="eastAsia"/>
          <w:sz w:val="32"/>
          <w:szCs w:val="32"/>
        </w:rPr>
        <w:t>，支持</w:t>
      </w:r>
      <w:r>
        <w:rPr>
          <w:rFonts w:ascii="Times New Roman" w:eastAsia="方正仿宋简体" w:hAnsi="Times New Roman"/>
          <w:sz w:val="32"/>
          <w:szCs w:val="32"/>
        </w:rPr>
        <w:t>开展</w:t>
      </w:r>
      <w:r>
        <w:rPr>
          <w:rFonts w:ascii="Times New Roman" w:eastAsia="方正仿宋简体" w:hAnsi="Times New Roman"/>
          <w:sz w:val="32"/>
          <w:szCs w:val="32"/>
        </w:rPr>
        <w:t>V2G</w:t>
      </w:r>
      <w:r>
        <w:rPr>
          <w:rFonts w:ascii="Times New Roman" w:eastAsia="方正仿宋简体" w:hAnsi="Times New Roman" w:hint="eastAsia"/>
          <w:sz w:val="32"/>
          <w:szCs w:val="32"/>
        </w:rPr>
        <w:t>试点应用和规模化商业化运行，</w:t>
      </w:r>
      <w:r>
        <w:rPr>
          <w:rFonts w:ascii="Times New Roman" w:eastAsia="方正仿宋简体" w:hAnsi="Times New Roman"/>
          <w:sz w:val="32"/>
          <w:szCs w:val="32"/>
        </w:rPr>
        <w:t>推动充换电基础设施、加氢站、综合能源补给站的信息化智能化升级改造</w:t>
      </w:r>
      <w:r>
        <w:rPr>
          <w:rFonts w:ascii="Times New Roman" w:eastAsia="方正仿宋简体" w:hAnsi="Times New Roman" w:hint="eastAsia"/>
          <w:sz w:val="32"/>
          <w:szCs w:val="32"/>
        </w:rPr>
        <w:t>，</w:t>
      </w:r>
      <w:r>
        <w:rPr>
          <w:rFonts w:ascii="Times New Roman" w:eastAsia="方正仿宋简体" w:hAnsi="Times New Roman"/>
          <w:sz w:val="32"/>
          <w:szCs w:val="32"/>
        </w:rPr>
        <w:t>构建布局合理、高效开放的</w:t>
      </w:r>
      <w:r>
        <w:rPr>
          <w:rFonts w:ascii="Times New Roman" w:eastAsia="方正仿宋简体" w:hAnsi="Times New Roman"/>
          <w:bCs/>
          <w:sz w:val="32"/>
          <w:szCs w:val="32"/>
        </w:rPr>
        <w:t>智慧能源网</w:t>
      </w:r>
      <w:r>
        <w:rPr>
          <w:rFonts w:ascii="Times New Roman" w:eastAsia="方正仿宋简体" w:hAnsi="Times New Roman" w:hint="eastAsia"/>
          <w:bCs/>
          <w:sz w:val="32"/>
          <w:szCs w:val="32"/>
        </w:rPr>
        <w:t>，</w:t>
      </w:r>
      <w:r>
        <w:rPr>
          <w:rFonts w:ascii="Times New Roman" w:eastAsia="方正仿宋简体" w:hAnsi="Times New Roman"/>
          <w:sz w:val="32"/>
          <w:szCs w:val="32"/>
        </w:rPr>
        <w:t>建设</w:t>
      </w:r>
      <w:r>
        <w:rPr>
          <w:rFonts w:ascii="方正仿宋简体" w:eastAsia="方正仿宋简体" w:hAnsi="Times New Roman" w:hint="eastAsia"/>
          <w:sz w:val="32"/>
          <w:szCs w:val="32"/>
        </w:rPr>
        <w:t>“</w:t>
      </w:r>
      <w:r>
        <w:rPr>
          <w:rFonts w:ascii="Times New Roman" w:eastAsia="方正仿宋简体" w:hAnsi="Times New Roman"/>
          <w:sz w:val="32"/>
          <w:szCs w:val="32"/>
        </w:rPr>
        <w:t>有序充电</w:t>
      </w:r>
      <w:r>
        <w:rPr>
          <w:rFonts w:ascii="Times New Roman" w:eastAsia="方正仿宋简体" w:hAnsi="Times New Roman"/>
          <w:sz w:val="32"/>
          <w:szCs w:val="32"/>
        </w:rPr>
        <w:t>+V2G</w:t>
      </w:r>
      <w:r>
        <w:rPr>
          <w:rFonts w:ascii="方正仿宋简体" w:eastAsia="方正仿宋简体" w:hAnsi="Times New Roman" w:hint="eastAsia"/>
          <w:sz w:val="32"/>
          <w:szCs w:val="32"/>
        </w:rPr>
        <w:t>”</w:t>
      </w:r>
      <w:r>
        <w:rPr>
          <w:rFonts w:ascii="Times New Roman" w:eastAsia="方正仿宋简体" w:hAnsi="Times New Roman"/>
          <w:sz w:val="32"/>
          <w:szCs w:val="32"/>
        </w:rPr>
        <w:t>示范项目</w:t>
      </w:r>
      <w:r>
        <w:rPr>
          <w:rFonts w:ascii="Times New Roman" w:eastAsia="方正仿宋简体" w:hAnsi="Times New Roman"/>
          <w:sz w:val="32"/>
          <w:szCs w:val="32"/>
        </w:rPr>
        <w:t>5</w:t>
      </w:r>
      <w:r>
        <w:rPr>
          <w:rFonts w:ascii="Times New Roman" w:eastAsia="方正仿宋简体" w:hAnsi="Times New Roman"/>
          <w:sz w:val="32"/>
          <w:szCs w:val="32"/>
        </w:rPr>
        <w:t>个</w:t>
      </w:r>
      <w:r>
        <w:rPr>
          <w:rFonts w:ascii="Times New Roman" w:eastAsia="方正仿宋简体" w:hAnsi="Times New Roman" w:hint="eastAsia"/>
          <w:sz w:val="32"/>
          <w:szCs w:val="32"/>
        </w:rPr>
        <w:t>以上、</w:t>
      </w:r>
      <w:r>
        <w:rPr>
          <w:rFonts w:ascii="方正仿宋简体" w:eastAsia="方正仿宋简体" w:hAnsi="Times New Roman" w:hint="eastAsia"/>
          <w:sz w:val="32"/>
          <w:szCs w:val="32"/>
        </w:rPr>
        <w:t>“</w:t>
      </w:r>
      <w:r>
        <w:rPr>
          <w:rFonts w:ascii="Times New Roman" w:eastAsia="方正仿宋简体" w:hAnsi="Times New Roman"/>
          <w:sz w:val="32"/>
          <w:szCs w:val="32"/>
        </w:rPr>
        <w:t>光储充放</w:t>
      </w:r>
      <w:r>
        <w:rPr>
          <w:rFonts w:ascii="方正仿宋简体" w:eastAsia="方正仿宋简体" w:hAnsi="Times New Roman" w:hint="eastAsia"/>
          <w:sz w:val="32"/>
          <w:szCs w:val="32"/>
        </w:rPr>
        <w:t>”</w:t>
      </w:r>
      <w:r>
        <w:rPr>
          <w:rFonts w:ascii="Times New Roman" w:eastAsia="方正仿宋简体" w:hAnsi="Times New Roman"/>
          <w:sz w:val="32"/>
          <w:szCs w:val="32"/>
        </w:rPr>
        <w:t>一体化示范站</w:t>
      </w:r>
      <w:r>
        <w:rPr>
          <w:rFonts w:ascii="Times New Roman" w:eastAsia="方正仿宋简体" w:hAnsi="Times New Roman"/>
          <w:sz w:val="32"/>
          <w:szCs w:val="32"/>
        </w:rPr>
        <w:t>25</w:t>
      </w:r>
      <w:r>
        <w:rPr>
          <w:rFonts w:ascii="Times New Roman" w:eastAsia="方正仿宋简体" w:hAnsi="Times New Roman"/>
          <w:sz w:val="32"/>
          <w:szCs w:val="32"/>
        </w:rPr>
        <w:t>座〔各区（市）县政府（管委会）、市经信局市新经济委、成都城投集团、成都交投集团、国网成都供电公司、国网天府供电公司负责〕。</w:t>
      </w:r>
      <w:r>
        <w:rPr>
          <w:rFonts w:ascii="Times New Roman" w:eastAsia="方正仿宋简体" w:hAnsi="Times New Roman"/>
          <w:bCs/>
          <w:sz w:val="32"/>
          <w:szCs w:val="32"/>
        </w:rPr>
        <w:t>加快智能网联新技术攻关应用</w:t>
      </w:r>
      <w:r>
        <w:rPr>
          <w:rFonts w:ascii="Times New Roman" w:eastAsia="方正仿宋简体" w:hAnsi="Times New Roman" w:hint="eastAsia"/>
          <w:bCs/>
          <w:sz w:val="32"/>
          <w:szCs w:val="32"/>
        </w:rPr>
        <w:t>，</w:t>
      </w:r>
      <w:r>
        <w:rPr>
          <w:rFonts w:ascii="Times New Roman" w:eastAsia="方正仿宋简体" w:hAnsi="Times New Roman"/>
          <w:sz w:val="32"/>
          <w:szCs w:val="32"/>
        </w:rPr>
        <w:t>力争全域分阶段开放测试与示范区域</w:t>
      </w:r>
      <w:r>
        <w:rPr>
          <w:rFonts w:ascii="Times New Roman" w:eastAsia="方正仿宋简体" w:hAnsi="Times New Roman"/>
          <w:sz w:val="32"/>
          <w:szCs w:val="32"/>
        </w:rPr>
        <w:t>3000</w:t>
      </w:r>
      <w:r>
        <w:rPr>
          <w:rFonts w:ascii="Times New Roman" w:eastAsia="方正仿宋简体" w:hAnsi="Times New Roman"/>
          <w:sz w:val="32"/>
          <w:szCs w:val="32"/>
        </w:rPr>
        <w:t>平方公里，重点道路点位部署</w:t>
      </w:r>
      <w:r>
        <w:rPr>
          <w:rFonts w:ascii="Times New Roman" w:eastAsia="方正仿宋简体" w:hAnsi="Times New Roman"/>
          <w:sz w:val="32"/>
          <w:szCs w:val="32"/>
        </w:rPr>
        <w:t>C-V2X</w:t>
      </w:r>
      <w:r>
        <w:rPr>
          <w:rFonts w:ascii="Times New Roman" w:eastAsia="方正仿宋简体" w:hAnsi="Times New Roman"/>
          <w:sz w:val="32"/>
          <w:szCs w:val="32"/>
        </w:rPr>
        <w:t>路侧单元</w:t>
      </w:r>
      <w:r>
        <w:rPr>
          <w:rFonts w:ascii="Times New Roman" w:eastAsia="方正仿宋简体" w:hAnsi="Times New Roman"/>
          <w:sz w:val="32"/>
          <w:szCs w:val="32"/>
        </w:rPr>
        <w:t>1000</w:t>
      </w:r>
      <w:r>
        <w:rPr>
          <w:rFonts w:ascii="Times New Roman" w:eastAsia="方正仿宋简体" w:hAnsi="Times New Roman"/>
          <w:sz w:val="32"/>
          <w:szCs w:val="32"/>
        </w:rPr>
        <w:t>个、边缘计算系统</w:t>
      </w:r>
      <w:r>
        <w:rPr>
          <w:rFonts w:ascii="Times New Roman" w:eastAsia="方正仿宋简体" w:hAnsi="Times New Roman"/>
          <w:sz w:val="32"/>
          <w:szCs w:val="32"/>
        </w:rPr>
        <w:t>600</w:t>
      </w:r>
      <w:r>
        <w:rPr>
          <w:rFonts w:ascii="Times New Roman" w:eastAsia="方正仿宋简体" w:hAnsi="Times New Roman"/>
          <w:sz w:val="32"/>
          <w:szCs w:val="32"/>
        </w:rPr>
        <w:t>个</w:t>
      </w:r>
      <w:r>
        <w:rPr>
          <w:rFonts w:ascii="Times New Roman" w:eastAsia="方正仿宋简体" w:hAnsi="Times New Roman" w:hint="eastAsia"/>
          <w:sz w:val="32"/>
          <w:szCs w:val="32"/>
        </w:rPr>
        <w:t>，</w:t>
      </w:r>
      <w:r>
        <w:rPr>
          <w:rFonts w:ascii="Times New Roman" w:eastAsia="方正仿宋简体" w:hAnsi="Times New Roman"/>
          <w:sz w:val="32"/>
          <w:szCs w:val="32"/>
        </w:rPr>
        <w:t>投放装载车联网车载通信单元（</w:t>
      </w:r>
      <w:r>
        <w:rPr>
          <w:rFonts w:ascii="Times New Roman" w:eastAsia="方正仿宋简体" w:hAnsi="Times New Roman"/>
          <w:sz w:val="32"/>
          <w:szCs w:val="32"/>
        </w:rPr>
        <w:t>OBU</w:t>
      </w:r>
      <w:r>
        <w:rPr>
          <w:rFonts w:ascii="Times New Roman" w:eastAsia="方正仿宋简体" w:hAnsi="Times New Roman"/>
          <w:sz w:val="32"/>
          <w:szCs w:val="32"/>
        </w:rPr>
        <w:t>）的</w:t>
      </w:r>
      <w:r>
        <w:rPr>
          <w:rFonts w:ascii="Times New Roman" w:eastAsia="方正仿宋简体" w:hAnsi="Times New Roman" w:hint="eastAsia"/>
          <w:sz w:val="32"/>
          <w:szCs w:val="32"/>
        </w:rPr>
        <w:t>车辆</w:t>
      </w:r>
      <w:r>
        <w:rPr>
          <w:rFonts w:ascii="Times New Roman" w:eastAsia="方正仿宋简体" w:hAnsi="Times New Roman"/>
          <w:sz w:val="32"/>
          <w:szCs w:val="32"/>
        </w:rPr>
        <w:t>20000</w:t>
      </w:r>
      <w:r>
        <w:rPr>
          <w:rFonts w:ascii="Times New Roman" w:eastAsia="方正仿宋简体" w:hAnsi="Times New Roman"/>
          <w:sz w:val="32"/>
          <w:szCs w:val="32"/>
        </w:rPr>
        <w:t>辆</w:t>
      </w:r>
      <w:r>
        <w:rPr>
          <w:rFonts w:ascii="Times New Roman" w:eastAsia="方正仿宋简体" w:hAnsi="Times New Roman" w:hint="eastAsia"/>
          <w:sz w:val="32"/>
          <w:szCs w:val="32"/>
        </w:rPr>
        <w:t>、</w:t>
      </w:r>
      <w:r>
        <w:rPr>
          <w:rFonts w:ascii="Times New Roman" w:eastAsia="方正仿宋简体" w:hAnsi="Times New Roman"/>
          <w:sz w:val="32"/>
          <w:szCs w:val="32"/>
        </w:rPr>
        <w:t>智能网联安全系统的大型客货车</w:t>
      </w:r>
      <w:r>
        <w:rPr>
          <w:rFonts w:ascii="Times New Roman" w:eastAsia="方正仿宋简体" w:hAnsi="Times New Roman"/>
          <w:sz w:val="32"/>
          <w:szCs w:val="32"/>
        </w:rPr>
        <w:t>7000</w:t>
      </w:r>
      <w:r>
        <w:rPr>
          <w:rFonts w:ascii="Times New Roman" w:eastAsia="方正仿宋简体" w:hAnsi="Times New Roman"/>
          <w:sz w:val="32"/>
          <w:szCs w:val="32"/>
        </w:rPr>
        <w:t>辆，鼓励自主开展具有主动安全功能的智能网联汽车示范应用</w:t>
      </w:r>
      <w:r>
        <w:rPr>
          <w:rFonts w:ascii="Times New Roman" w:eastAsia="方正仿宋简体" w:hAnsi="Times New Roman" w:hint="eastAsia"/>
          <w:sz w:val="32"/>
          <w:szCs w:val="32"/>
        </w:rPr>
        <w:t>，</w:t>
      </w:r>
      <w:r>
        <w:rPr>
          <w:rFonts w:ascii="Times New Roman" w:eastAsia="方正仿宋简体" w:hAnsi="Times New Roman"/>
          <w:sz w:val="32"/>
          <w:szCs w:val="32"/>
        </w:rPr>
        <w:t>支持开展一批智能网联汽车商业化试点运营〔</w:t>
      </w:r>
      <w:r>
        <w:rPr>
          <w:rFonts w:ascii="Times New Roman" w:eastAsia="方正仿宋简体" w:hAnsi="Times New Roman" w:hint="eastAsia"/>
          <w:sz w:val="32"/>
          <w:szCs w:val="32"/>
        </w:rPr>
        <w:t>各</w:t>
      </w:r>
      <w:r>
        <w:rPr>
          <w:rFonts w:ascii="Times New Roman" w:eastAsia="方正仿宋简体" w:hAnsi="Times New Roman"/>
          <w:sz w:val="32"/>
          <w:szCs w:val="32"/>
        </w:rPr>
        <w:t>区（市）县政府（管委会）</w:t>
      </w:r>
      <w:r>
        <w:rPr>
          <w:rFonts w:ascii="Times New Roman" w:eastAsia="方正仿宋简体" w:hAnsi="Times New Roman" w:hint="eastAsia"/>
          <w:sz w:val="32"/>
          <w:szCs w:val="32"/>
        </w:rPr>
        <w:t>、</w:t>
      </w:r>
      <w:r>
        <w:rPr>
          <w:rFonts w:ascii="Times New Roman" w:eastAsia="方正仿宋简体" w:hAnsi="Times New Roman"/>
          <w:sz w:val="32"/>
          <w:szCs w:val="32"/>
        </w:rPr>
        <w:t>市经信局市新经济委、市住建局负责〕。开通智能网联</w:t>
      </w:r>
      <w:r>
        <w:rPr>
          <w:rFonts w:ascii="Times New Roman" w:eastAsia="方正仿宋简体" w:hAnsi="Times New Roman" w:hint="eastAsia"/>
          <w:sz w:val="32"/>
          <w:szCs w:val="32"/>
        </w:rPr>
        <w:t>公交车</w:t>
      </w:r>
      <w:r>
        <w:rPr>
          <w:rFonts w:ascii="Times New Roman" w:eastAsia="方正仿宋简体" w:hAnsi="Times New Roman"/>
          <w:sz w:val="32"/>
          <w:szCs w:val="32"/>
        </w:rPr>
        <w:t>示范运营线路</w:t>
      </w:r>
      <w:r>
        <w:rPr>
          <w:rFonts w:ascii="Times New Roman" w:eastAsia="方正仿宋简体" w:hAnsi="Times New Roman"/>
          <w:sz w:val="32"/>
          <w:szCs w:val="32"/>
        </w:rPr>
        <w:t>3</w:t>
      </w:r>
      <w:r>
        <w:rPr>
          <w:rFonts w:ascii="Times New Roman" w:eastAsia="方正仿宋简体" w:hAnsi="Times New Roman"/>
          <w:sz w:val="32"/>
          <w:szCs w:val="32"/>
        </w:rPr>
        <w:t>条，投用车辆</w:t>
      </w:r>
      <w:r>
        <w:rPr>
          <w:rFonts w:ascii="Times New Roman" w:eastAsia="方正仿宋简体" w:hAnsi="Times New Roman"/>
          <w:sz w:val="32"/>
          <w:szCs w:val="32"/>
        </w:rPr>
        <w:t>60</w:t>
      </w:r>
      <w:r>
        <w:rPr>
          <w:rFonts w:ascii="Times New Roman" w:eastAsia="方正仿宋简体" w:hAnsi="Times New Roman"/>
          <w:sz w:val="32"/>
          <w:szCs w:val="32"/>
        </w:rPr>
        <w:t>辆，在营公交车完成车联网车载通信单元（</w:t>
      </w:r>
      <w:r>
        <w:rPr>
          <w:rFonts w:ascii="Times New Roman" w:eastAsia="方正仿宋简体" w:hAnsi="Times New Roman"/>
          <w:sz w:val="32"/>
          <w:szCs w:val="32"/>
        </w:rPr>
        <w:t>OBU</w:t>
      </w:r>
      <w:r>
        <w:rPr>
          <w:rFonts w:ascii="Times New Roman" w:eastAsia="方正仿宋简体" w:hAnsi="Times New Roman"/>
          <w:sz w:val="32"/>
          <w:szCs w:val="32"/>
        </w:rPr>
        <w:t>）和智能网联安全系统</w:t>
      </w:r>
      <w:r>
        <w:rPr>
          <w:rFonts w:ascii="Times New Roman" w:eastAsia="方正仿宋简体" w:hAnsi="Times New Roman" w:hint="eastAsia"/>
          <w:sz w:val="32"/>
          <w:szCs w:val="32"/>
        </w:rPr>
        <w:t>的</w:t>
      </w:r>
      <w:r>
        <w:rPr>
          <w:rFonts w:ascii="Times New Roman" w:eastAsia="方正仿宋简体" w:hAnsi="Times New Roman"/>
          <w:sz w:val="32"/>
          <w:szCs w:val="32"/>
        </w:rPr>
        <w:t>加装（市公交集团负责）。</w:t>
      </w:r>
    </w:p>
    <w:p w:rsidR="008E4FCC" w:rsidRDefault="008E4FCC" w:rsidP="008E4FCC">
      <w:pPr>
        <w:overflowPunct w:val="0"/>
        <w:adjustRightInd w:val="0"/>
        <w:snapToGrid w:val="0"/>
        <w:spacing w:line="600" w:lineRule="exact"/>
        <w:ind w:firstLineChars="200" w:firstLine="632"/>
        <w:rPr>
          <w:rFonts w:ascii="Times New Roman" w:eastAsia="方正仿宋简体" w:hAnsi="Times New Roman"/>
          <w:sz w:val="32"/>
          <w:szCs w:val="32"/>
        </w:rPr>
      </w:pPr>
      <w:r>
        <w:rPr>
          <w:rFonts w:ascii="Times New Roman" w:eastAsia="方正楷体简体" w:hAnsi="Times New Roman"/>
          <w:sz w:val="32"/>
          <w:szCs w:val="32"/>
        </w:rPr>
        <w:t>（四）完善政策措施和管理制度体系</w:t>
      </w:r>
      <w:r>
        <w:rPr>
          <w:rFonts w:ascii="Times New Roman" w:eastAsia="方正楷体简体" w:hAnsi="Times New Roman" w:hint="eastAsia"/>
          <w:sz w:val="32"/>
          <w:szCs w:val="32"/>
        </w:rPr>
        <w:t>。</w:t>
      </w:r>
      <w:r>
        <w:rPr>
          <w:rFonts w:ascii="Times New Roman" w:eastAsia="方正仿宋简体" w:hAnsi="Times New Roman"/>
          <w:sz w:val="32"/>
          <w:szCs w:val="32"/>
        </w:rPr>
        <w:t>在相关条例制修订过程中，研究纳入</w:t>
      </w:r>
      <w:r>
        <w:rPr>
          <w:rFonts w:ascii="Times New Roman" w:eastAsia="方正仿宋简体" w:hAnsi="Times New Roman" w:hint="eastAsia"/>
          <w:sz w:val="32"/>
          <w:szCs w:val="32"/>
        </w:rPr>
        <w:t>相关</w:t>
      </w:r>
      <w:r>
        <w:rPr>
          <w:rFonts w:ascii="Times New Roman" w:eastAsia="方正仿宋简体" w:hAnsi="Times New Roman"/>
          <w:sz w:val="32"/>
          <w:szCs w:val="32"/>
        </w:rPr>
        <w:t>支持条款</w:t>
      </w:r>
      <w:r>
        <w:rPr>
          <w:rFonts w:ascii="Times New Roman" w:eastAsia="方正仿宋简体" w:hAnsi="Times New Roman" w:hint="eastAsia"/>
          <w:sz w:val="32"/>
          <w:szCs w:val="32"/>
        </w:rPr>
        <w:t>，</w:t>
      </w:r>
      <w:r>
        <w:rPr>
          <w:rFonts w:ascii="Times New Roman" w:eastAsia="方正仿宋简体" w:hAnsi="Times New Roman"/>
          <w:sz w:val="32"/>
          <w:szCs w:val="32"/>
        </w:rPr>
        <w:t>优化完善相关管理制度，建立和完善运营信誉质量考核体系（市级相关部门负责）。</w:t>
      </w:r>
      <w:r>
        <w:rPr>
          <w:rFonts w:ascii="Times New Roman" w:eastAsia="方正仿宋简体" w:hAnsi="Times New Roman"/>
          <w:bCs/>
          <w:kern w:val="28"/>
          <w:sz w:val="32"/>
          <w:szCs w:val="32"/>
        </w:rPr>
        <w:t>进一步扩大新能源汽车通行路权，逐步取消传统能源货车电子通行码发放，逐步扩大传统能源货车限行范围</w:t>
      </w:r>
      <w:r>
        <w:rPr>
          <w:rFonts w:ascii="Times New Roman" w:eastAsia="方正仿宋简体" w:hAnsi="Times New Roman" w:hint="eastAsia"/>
          <w:bCs/>
          <w:kern w:val="28"/>
          <w:sz w:val="32"/>
          <w:szCs w:val="32"/>
        </w:rPr>
        <w:t>，</w:t>
      </w:r>
      <w:r>
        <w:rPr>
          <w:rFonts w:ascii="Times New Roman" w:eastAsia="方正仿宋简体" w:hAnsi="Times New Roman"/>
          <w:bCs/>
          <w:kern w:val="28"/>
          <w:sz w:val="32"/>
          <w:szCs w:val="32"/>
        </w:rPr>
        <w:t>加大对燃油货车的执法力度，设立低零碳交通示范区</w:t>
      </w:r>
      <w:r>
        <w:rPr>
          <w:rFonts w:ascii="Times New Roman" w:eastAsia="方正仿宋简体" w:hAnsi="Times New Roman"/>
          <w:sz w:val="32"/>
          <w:szCs w:val="32"/>
        </w:rPr>
        <w:t>（市公安局、市生态环境局、市交通运输局、</w:t>
      </w:r>
      <w:r>
        <w:rPr>
          <w:rFonts w:ascii="Times New Roman" w:eastAsia="方正仿宋简体" w:hAnsi="Times New Roman"/>
          <w:sz w:val="32"/>
          <w:szCs w:val="32"/>
        </w:rPr>
        <w:lastRenderedPageBreak/>
        <w:t>市城管委、市住建局负责）</w:t>
      </w:r>
      <w:r>
        <w:rPr>
          <w:rFonts w:ascii="Times New Roman" w:eastAsia="方正仿宋简体" w:hAnsi="Times New Roman"/>
          <w:bCs/>
          <w:kern w:val="28"/>
          <w:sz w:val="32"/>
          <w:szCs w:val="32"/>
        </w:rPr>
        <w:t>。</w:t>
      </w:r>
      <w:r>
        <w:rPr>
          <w:rFonts w:ascii="Times New Roman" w:eastAsia="方正仿宋简体" w:hAnsi="Times New Roman"/>
          <w:sz w:val="32"/>
          <w:szCs w:val="32"/>
        </w:rPr>
        <w:t>发生交通事故的载客</w:t>
      </w:r>
      <w:r>
        <w:rPr>
          <w:rFonts w:ascii="Times New Roman" w:eastAsia="方正仿宋简体" w:hAnsi="Times New Roman" w:hint="eastAsia"/>
          <w:sz w:val="32"/>
          <w:szCs w:val="32"/>
        </w:rPr>
        <w:t>类新能源汽车</w:t>
      </w:r>
      <w:r>
        <w:rPr>
          <w:rFonts w:ascii="Times New Roman" w:eastAsia="方正仿宋简体" w:hAnsi="Times New Roman"/>
          <w:sz w:val="32"/>
          <w:szCs w:val="32"/>
        </w:rPr>
        <w:t>应通过检测维护后方可重新投入运营（市交通运输局、市机关事务局负责）。编制燃料电池汽车示范应用</w:t>
      </w:r>
      <w:r>
        <w:rPr>
          <w:rFonts w:ascii="Times New Roman" w:eastAsia="方正仿宋简体" w:hAnsi="Times New Roman" w:hint="eastAsia"/>
          <w:sz w:val="32"/>
          <w:szCs w:val="32"/>
        </w:rPr>
        <w:t>支持</w:t>
      </w:r>
      <w:r>
        <w:rPr>
          <w:rFonts w:ascii="Times New Roman" w:eastAsia="方正仿宋简体" w:hAnsi="Times New Roman"/>
          <w:sz w:val="32"/>
          <w:szCs w:val="32"/>
        </w:rPr>
        <w:t>政策</w:t>
      </w:r>
      <w:r>
        <w:rPr>
          <w:rFonts w:ascii="Times New Roman" w:eastAsia="方正仿宋简体" w:hAnsi="Times New Roman" w:hint="eastAsia"/>
          <w:sz w:val="32"/>
          <w:szCs w:val="32"/>
        </w:rPr>
        <w:t>，</w:t>
      </w:r>
      <w:r>
        <w:rPr>
          <w:rFonts w:ascii="Times New Roman" w:eastAsia="方正仿宋简体" w:hAnsi="Times New Roman"/>
          <w:sz w:val="32"/>
          <w:szCs w:val="32"/>
        </w:rPr>
        <w:t>积极争创国家燃料电池汽车示范应用试点城市</w:t>
      </w:r>
      <w:r>
        <w:rPr>
          <w:rFonts w:ascii="Times New Roman" w:eastAsia="方正仿宋简体" w:hAnsi="Times New Roman" w:hint="eastAsia"/>
          <w:sz w:val="32"/>
          <w:szCs w:val="32"/>
        </w:rPr>
        <w:t>；整车企业应</w:t>
      </w:r>
      <w:r>
        <w:rPr>
          <w:rFonts w:ascii="Times New Roman" w:eastAsia="方正仿宋简体" w:hAnsi="Times New Roman"/>
          <w:sz w:val="32"/>
          <w:szCs w:val="32"/>
        </w:rPr>
        <w:t>强化车辆运行安全监测，组织开展安全隐患排查和缺陷调查，发生</w:t>
      </w:r>
      <w:r>
        <w:rPr>
          <w:rFonts w:ascii="Times New Roman" w:eastAsia="方正仿宋简体" w:hAnsi="Times New Roman" w:hint="eastAsia"/>
          <w:sz w:val="32"/>
          <w:szCs w:val="32"/>
        </w:rPr>
        <w:t>重大事故的车辆应</w:t>
      </w:r>
      <w:r>
        <w:rPr>
          <w:rFonts w:ascii="Times New Roman" w:eastAsia="方正仿宋简体" w:hAnsi="Times New Roman"/>
          <w:sz w:val="32"/>
          <w:szCs w:val="32"/>
        </w:rPr>
        <w:t>及时委托具有资质的鉴定机构出具调查报告</w:t>
      </w:r>
      <w:r>
        <w:rPr>
          <w:rFonts w:ascii="Times New Roman" w:eastAsia="方正仿宋简体" w:hAnsi="Times New Roman" w:hint="eastAsia"/>
          <w:sz w:val="32"/>
          <w:szCs w:val="32"/>
        </w:rPr>
        <w:t>；</w:t>
      </w:r>
      <w:r>
        <w:rPr>
          <w:rFonts w:ascii="Times New Roman" w:eastAsia="方正仿宋简体" w:hAnsi="Times New Roman" w:hint="eastAsia"/>
          <w:bCs/>
          <w:kern w:val="28"/>
          <w:sz w:val="32"/>
          <w:szCs w:val="32"/>
        </w:rPr>
        <w:t>支持</w:t>
      </w:r>
      <w:r>
        <w:rPr>
          <w:rFonts w:ascii="Times New Roman" w:eastAsia="方正仿宋简体" w:hAnsi="Times New Roman"/>
          <w:bCs/>
          <w:kern w:val="28"/>
          <w:sz w:val="32"/>
          <w:szCs w:val="32"/>
        </w:rPr>
        <w:t>制定车辆选型、售后服务、电池箱、模块化电池、</w:t>
      </w:r>
      <w:r>
        <w:rPr>
          <w:rFonts w:ascii="Times New Roman" w:eastAsia="方正仿宋简体" w:hAnsi="Times New Roman"/>
          <w:bCs/>
          <w:kern w:val="28"/>
          <w:sz w:val="32"/>
          <w:szCs w:val="32"/>
        </w:rPr>
        <w:t>C-V2X</w:t>
      </w:r>
      <w:r>
        <w:rPr>
          <w:rFonts w:ascii="Times New Roman" w:eastAsia="方正仿宋简体" w:hAnsi="Times New Roman"/>
          <w:bCs/>
          <w:kern w:val="28"/>
          <w:sz w:val="32"/>
          <w:szCs w:val="32"/>
        </w:rPr>
        <w:t>规模化通信、测试评价等标准</w:t>
      </w:r>
      <w:r>
        <w:rPr>
          <w:rFonts w:ascii="Times New Roman" w:eastAsia="方正仿宋简体" w:hAnsi="Times New Roman"/>
          <w:sz w:val="32"/>
          <w:szCs w:val="32"/>
        </w:rPr>
        <w:t>（</w:t>
      </w:r>
      <w:r>
        <w:rPr>
          <w:rFonts w:ascii="Times New Roman" w:eastAsia="方正仿宋简体" w:hAnsi="Times New Roman" w:hint="eastAsia"/>
          <w:sz w:val="32"/>
          <w:szCs w:val="32"/>
        </w:rPr>
        <w:t>市经信局市新经济委</w:t>
      </w:r>
      <w:r>
        <w:rPr>
          <w:rFonts w:ascii="Times New Roman" w:eastAsia="方正仿宋简体" w:hAnsi="Times New Roman"/>
          <w:sz w:val="32"/>
          <w:szCs w:val="32"/>
        </w:rPr>
        <w:t>负责）。</w:t>
      </w:r>
    </w:p>
    <w:p w:rsidR="008E4FCC" w:rsidRDefault="008E4FCC" w:rsidP="008E4FCC">
      <w:pPr>
        <w:overflowPunct w:val="0"/>
        <w:topLinePunct/>
        <w:adjustRightInd w:val="0"/>
        <w:snapToGrid w:val="0"/>
        <w:spacing w:line="600" w:lineRule="exact"/>
        <w:ind w:firstLineChars="200" w:firstLine="632"/>
        <w:outlineLvl w:val="2"/>
        <w:rPr>
          <w:rFonts w:ascii="Times New Roman" w:eastAsia="方正黑体简体" w:hAnsi="Times New Roman"/>
          <w:sz w:val="32"/>
          <w:szCs w:val="32"/>
        </w:rPr>
      </w:pPr>
      <w:r>
        <w:rPr>
          <w:rFonts w:ascii="Times New Roman" w:eastAsia="方正黑体简体" w:hAnsi="Times New Roman" w:hint="eastAsia"/>
          <w:sz w:val="32"/>
          <w:szCs w:val="32"/>
        </w:rPr>
        <w:t>三</w:t>
      </w:r>
      <w:r>
        <w:rPr>
          <w:rFonts w:ascii="Times New Roman" w:eastAsia="方正黑体简体" w:hAnsi="Times New Roman"/>
          <w:sz w:val="32"/>
          <w:szCs w:val="32"/>
        </w:rPr>
        <w:t>、保障措施</w:t>
      </w:r>
    </w:p>
    <w:p w:rsidR="008E4FCC" w:rsidRDefault="008E4FCC" w:rsidP="008E4FCC">
      <w:pPr>
        <w:overflowPunct w:val="0"/>
        <w:topLinePunct/>
        <w:adjustRightInd w:val="0"/>
        <w:snapToGrid w:val="0"/>
        <w:spacing w:line="600" w:lineRule="exact"/>
        <w:ind w:firstLineChars="200" w:firstLine="632"/>
        <w:outlineLvl w:val="2"/>
        <w:rPr>
          <w:rFonts w:ascii="Times New Roman" w:eastAsia="方正仿宋简体" w:hAnsi="Times New Roman"/>
          <w:sz w:val="32"/>
          <w:szCs w:val="32"/>
        </w:rPr>
      </w:pPr>
      <w:r>
        <w:rPr>
          <w:rFonts w:ascii="Times New Roman" w:eastAsia="方正楷体简体" w:hAnsi="Times New Roman"/>
          <w:sz w:val="32"/>
          <w:szCs w:val="32"/>
        </w:rPr>
        <w:t>（一）加强组织保障。</w:t>
      </w:r>
      <w:r>
        <w:rPr>
          <w:rFonts w:ascii="Times New Roman" w:eastAsia="方正仿宋简体" w:hAnsi="Times New Roman"/>
          <w:bCs/>
          <w:kern w:val="28"/>
          <w:sz w:val="32"/>
          <w:szCs w:val="32"/>
        </w:rPr>
        <w:t>市制造强市建设领导小组负责统筹协调推进试点，</w:t>
      </w:r>
      <w:r>
        <w:rPr>
          <w:rFonts w:ascii="Times New Roman" w:eastAsia="方正仿宋简体" w:hAnsi="Times New Roman" w:hint="eastAsia"/>
          <w:bCs/>
          <w:kern w:val="28"/>
          <w:sz w:val="32"/>
          <w:szCs w:val="32"/>
        </w:rPr>
        <w:t>市级相关部门、</w:t>
      </w:r>
      <w:r>
        <w:rPr>
          <w:rFonts w:ascii="Times New Roman" w:eastAsia="方正仿宋简体" w:hAnsi="Times New Roman"/>
          <w:bCs/>
          <w:kern w:val="28"/>
          <w:sz w:val="32"/>
          <w:szCs w:val="32"/>
        </w:rPr>
        <w:t>各区（市）县政府（管委会）</w:t>
      </w:r>
      <w:r>
        <w:rPr>
          <w:rFonts w:ascii="Times New Roman" w:eastAsia="方正仿宋简体" w:hAnsi="Times New Roman" w:hint="eastAsia"/>
          <w:bCs/>
          <w:kern w:val="28"/>
          <w:sz w:val="32"/>
          <w:szCs w:val="32"/>
        </w:rPr>
        <w:t>、相关市属国企应</w:t>
      </w:r>
      <w:r>
        <w:rPr>
          <w:rFonts w:ascii="Times New Roman" w:eastAsia="方正仿宋简体" w:hAnsi="Times New Roman"/>
          <w:bCs/>
          <w:kern w:val="28"/>
          <w:sz w:val="32"/>
          <w:szCs w:val="32"/>
        </w:rPr>
        <w:t>强化沟通协调，建立完善工作推进机制。市经信局市新经济委、市交通运输局按要求定期调度、总结、上报试点工作推进情况，</w:t>
      </w:r>
      <w:r>
        <w:rPr>
          <w:rFonts w:ascii="Times New Roman" w:eastAsia="方正仿宋简体" w:hAnsi="Times New Roman" w:hint="eastAsia"/>
          <w:bCs/>
          <w:kern w:val="28"/>
          <w:sz w:val="32"/>
          <w:szCs w:val="32"/>
        </w:rPr>
        <w:t>有关</w:t>
      </w:r>
      <w:r>
        <w:rPr>
          <w:rFonts w:ascii="Times New Roman" w:eastAsia="方正仿宋简体" w:hAnsi="Times New Roman"/>
          <w:bCs/>
          <w:kern w:val="28"/>
          <w:sz w:val="32"/>
          <w:szCs w:val="32"/>
        </w:rPr>
        <w:t>问题及时上报。市公安局</w:t>
      </w:r>
      <w:r>
        <w:rPr>
          <w:rFonts w:ascii="Times New Roman" w:eastAsia="方正仿宋简体" w:hAnsi="Times New Roman" w:hint="eastAsia"/>
          <w:bCs/>
          <w:kern w:val="28"/>
          <w:sz w:val="32"/>
          <w:szCs w:val="32"/>
        </w:rPr>
        <w:t>在</w:t>
      </w:r>
      <w:r>
        <w:rPr>
          <w:rFonts w:ascii="Times New Roman" w:eastAsia="方正仿宋简体" w:hAnsi="Times New Roman"/>
          <w:bCs/>
          <w:kern w:val="28"/>
          <w:sz w:val="32"/>
          <w:szCs w:val="32"/>
        </w:rPr>
        <w:t>试点期间每月向市经信局市新经济委、市交通运输局推送</w:t>
      </w:r>
      <w:r>
        <w:rPr>
          <w:rFonts w:ascii="Times New Roman" w:eastAsia="方正仿宋简体" w:hAnsi="Times New Roman" w:hint="eastAsia"/>
          <w:bCs/>
          <w:kern w:val="28"/>
          <w:sz w:val="32"/>
          <w:szCs w:val="32"/>
        </w:rPr>
        <w:t>试点</w:t>
      </w:r>
      <w:r>
        <w:rPr>
          <w:rFonts w:ascii="Times New Roman" w:eastAsia="方正仿宋简体" w:hAnsi="Times New Roman"/>
          <w:bCs/>
          <w:kern w:val="28"/>
          <w:sz w:val="32"/>
          <w:szCs w:val="32"/>
        </w:rPr>
        <w:t>车辆上牌数据。</w:t>
      </w:r>
    </w:p>
    <w:p w:rsidR="008E4FCC" w:rsidRDefault="008E4FCC" w:rsidP="008E4FCC">
      <w:pPr>
        <w:overflowPunct w:val="0"/>
        <w:topLinePunct/>
        <w:adjustRightInd w:val="0"/>
        <w:snapToGrid w:val="0"/>
        <w:spacing w:line="600" w:lineRule="exact"/>
        <w:ind w:firstLineChars="200" w:firstLine="632"/>
        <w:outlineLvl w:val="2"/>
        <w:rPr>
          <w:rFonts w:ascii="Times New Roman" w:eastAsia="方正仿宋简体" w:hAnsi="Times New Roman"/>
          <w:sz w:val="32"/>
          <w:szCs w:val="32"/>
        </w:rPr>
      </w:pPr>
      <w:r>
        <w:rPr>
          <w:rFonts w:ascii="Times New Roman" w:eastAsia="方正楷体简体" w:hAnsi="Times New Roman"/>
          <w:sz w:val="32"/>
          <w:szCs w:val="32"/>
        </w:rPr>
        <w:t>（二）加强</w:t>
      </w:r>
      <w:r>
        <w:rPr>
          <w:rFonts w:ascii="Times New Roman" w:eastAsia="方正楷体简体" w:hAnsi="Times New Roman" w:hint="eastAsia"/>
          <w:sz w:val="32"/>
          <w:szCs w:val="32"/>
        </w:rPr>
        <w:t>政策</w:t>
      </w:r>
      <w:r>
        <w:rPr>
          <w:rFonts w:ascii="Times New Roman" w:eastAsia="方正楷体简体" w:hAnsi="Times New Roman"/>
          <w:sz w:val="32"/>
          <w:szCs w:val="32"/>
        </w:rPr>
        <w:t>保障。</w:t>
      </w:r>
      <w:r>
        <w:rPr>
          <w:rFonts w:ascii="Times New Roman" w:eastAsia="方正仿宋简体" w:hAnsi="Times New Roman"/>
          <w:bCs/>
          <w:kern w:val="28"/>
          <w:sz w:val="32"/>
          <w:szCs w:val="32"/>
        </w:rPr>
        <w:t>市级相关部门可结合实际情况研究出台运营补贴</w:t>
      </w:r>
      <w:r>
        <w:rPr>
          <w:rFonts w:ascii="Times New Roman" w:eastAsia="方正仿宋简体" w:hAnsi="Times New Roman" w:hint="eastAsia"/>
          <w:bCs/>
          <w:kern w:val="28"/>
          <w:sz w:val="32"/>
          <w:szCs w:val="32"/>
        </w:rPr>
        <w:t>等政策，</w:t>
      </w:r>
      <w:r>
        <w:rPr>
          <w:rFonts w:ascii="Times New Roman" w:eastAsia="方正仿宋简体" w:hAnsi="Times New Roman"/>
          <w:bCs/>
          <w:kern w:val="28"/>
          <w:sz w:val="32"/>
          <w:szCs w:val="32"/>
        </w:rPr>
        <w:t>各区（市）县出台配套政策。市级对口八部门积极向上争取支持，积极落实中央下达的相关支持政策措施。充分发挥财政资金和国有资本的引领带动作用，</w:t>
      </w:r>
      <w:r>
        <w:rPr>
          <w:rFonts w:ascii="Times New Roman" w:eastAsia="方正仿宋简体" w:hAnsi="Times New Roman" w:hint="eastAsia"/>
          <w:bCs/>
          <w:kern w:val="28"/>
          <w:sz w:val="32"/>
          <w:szCs w:val="32"/>
        </w:rPr>
        <w:t>相关</w:t>
      </w:r>
      <w:r>
        <w:rPr>
          <w:rFonts w:ascii="Times New Roman" w:eastAsia="方正仿宋简体" w:hAnsi="Times New Roman"/>
          <w:bCs/>
          <w:kern w:val="28"/>
          <w:sz w:val="32"/>
          <w:szCs w:val="32"/>
        </w:rPr>
        <w:t>市属国有企业要积极落实国家和省市相关绿债、绿贷、绿色金融等政策措施，加强对本次试点工作的资金支持。</w:t>
      </w:r>
    </w:p>
    <w:p w:rsidR="008E4FCC" w:rsidRDefault="008E4FCC" w:rsidP="008E4FCC">
      <w:pPr>
        <w:overflowPunct w:val="0"/>
        <w:adjustRightInd w:val="0"/>
        <w:snapToGrid w:val="0"/>
        <w:spacing w:line="600" w:lineRule="exact"/>
        <w:ind w:firstLineChars="200" w:firstLine="632"/>
        <w:rPr>
          <w:rFonts w:ascii="Times New Roman" w:eastAsia="方正仿宋简体" w:hAnsi="Times New Roman"/>
          <w:sz w:val="32"/>
          <w:szCs w:val="32"/>
        </w:rPr>
      </w:pPr>
      <w:r>
        <w:rPr>
          <w:rFonts w:ascii="Times New Roman" w:eastAsia="方正楷体简体" w:hAnsi="Times New Roman"/>
          <w:sz w:val="32"/>
          <w:szCs w:val="32"/>
        </w:rPr>
        <w:t>（三）</w:t>
      </w:r>
      <w:r>
        <w:rPr>
          <w:rFonts w:ascii="Times New Roman" w:eastAsia="方正楷体简体" w:hAnsi="Times New Roman" w:hint="eastAsia"/>
          <w:sz w:val="32"/>
          <w:szCs w:val="32"/>
        </w:rPr>
        <w:t>优化考核标准。</w:t>
      </w:r>
      <w:r>
        <w:rPr>
          <w:rFonts w:ascii="Times New Roman" w:eastAsia="方正仿宋简体" w:hAnsi="Times New Roman" w:hint="eastAsia"/>
          <w:bCs/>
          <w:kern w:val="28"/>
          <w:sz w:val="32"/>
          <w:szCs w:val="32"/>
        </w:rPr>
        <w:t>充分发挥市属国有企业的基础保障、</w:t>
      </w:r>
      <w:r>
        <w:rPr>
          <w:rFonts w:ascii="Times New Roman" w:eastAsia="方正仿宋简体" w:hAnsi="Times New Roman" w:hint="eastAsia"/>
          <w:bCs/>
          <w:kern w:val="28"/>
          <w:sz w:val="32"/>
          <w:szCs w:val="32"/>
        </w:rPr>
        <w:lastRenderedPageBreak/>
        <w:t>引领带动、目标兜底作用，支持成都城投集团、成都交投集团等市属国有企业全面参与试点。对市属国有企业参与试点的专业化公司，放宽连续亏损年限要求；对市属国有企业参与试点的项目，采取弹性考核方式，降低项目投资利润率、内部收益率等指标要求，提高新能源业务增长规模、民生保障项目、优化能源结构等内容的考核权重。</w:t>
      </w:r>
    </w:p>
    <w:p w:rsidR="008E4FCC" w:rsidRDefault="008E4FCC" w:rsidP="008E4FCC">
      <w:pPr>
        <w:overflowPunct w:val="0"/>
        <w:adjustRightInd w:val="0"/>
        <w:snapToGrid w:val="0"/>
        <w:spacing w:line="600" w:lineRule="exact"/>
        <w:ind w:firstLineChars="200" w:firstLine="632"/>
        <w:rPr>
          <w:rFonts w:ascii="Times New Roman" w:eastAsia="方正小标宋简体" w:hAnsi="Times New Roman"/>
          <w:sz w:val="44"/>
          <w:szCs w:val="44"/>
        </w:rPr>
      </w:pPr>
      <w:r>
        <w:rPr>
          <w:rFonts w:ascii="Times New Roman" w:eastAsia="方正楷体简体" w:hAnsi="Times New Roman"/>
          <w:sz w:val="32"/>
          <w:szCs w:val="32"/>
        </w:rPr>
        <w:t>（四）</w:t>
      </w:r>
      <w:r>
        <w:rPr>
          <w:rFonts w:ascii="Times New Roman" w:eastAsia="方正楷体简体" w:hAnsi="Times New Roman" w:hint="eastAsia"/>
          <w:sz w:val="32"/>
          <w:szCs w:val="32"/>
        </w:rPr>
        <w:t>支持</w:t>
      </w:r>
      <w:r>
        <w:rPr>
          <w:rFonts w:ascii="Times New Roman" w:eastAsia="方正楷体简体" w:hAnsi="Times New Roman"/>
          <w:sz w:val="32"/>
          <w:szCs w:val="32"/>
        </w:rPr>
        <w:t>多方参与。</w:t>
      </w:r>
      <w:r>
        <w:rPr>
          <w:rFonts w:ascii="Times New Roman" w:eastAsia="方正仿宋简体" w:hAnsi="Times New Roman"/>
          <w:sz w:val="32"/>
          <w:szCs w:val="32"/>
        </w:rPr>
        <w:t>发挥政府引导作用，大力激发市场主体活力，鼓励市场主体广泛参与，支持新技术新模式孵化转化应用，大力培育和聚集新兴领域独角兽企业，支持专业服务型机构充分发挥作用，打造完善的生态体系。充分发挥</w:t>
      </w:r>
      <w:r>
        <w:rPr>
          <w:rFonts w:ascii="Times New Roman" w:eastAsia="方正仿宋简体" w:hAnsi="Times New Roman" w:hint="eastAsia"/>
          <w:sz w:val="32"/>
          <w:szCs w:val="32"/>
        </w:rPr>
        <w:t>产业联盟等社会组织</w:t>
      </w:r>
      <w:r>
        <w:rPr>
          <w:rFonts w:ascii="Times New Roman" w:eastAsia="方正仿宋简体" w:hAnsi="Times New Roman"/>
          <w:sz w:val="32"/>
          <w:szCs w:val="32"/>
        </w:rPr>
        <w:t>扎根行业、服务企业、辅助政府、凝聚合力的独特优势，以及相关行业头部企业的创新引领作用。</w:t>
      </w:r>
      <w:r>
        <w:rPr>
          <w:rFonts w:ascii="Times New Roman" w:eastAsia="方正仿宋简体" w:hAnsi="Times New Roman"/>
          <w:sz w:val="32"/>
          <w:szCs w:val="32"/>
        </w:rPr>
        <w:br w:type="page"/>
      </w:r>
      <w:r>
        <w:rPr>
          <w:rFonts w:ascii="Times New Roman" w:eastAsia="方正黑体简体" w:hAnsi="Times New Roman"/>
          <w:bCs/>
          <w:sz w:val="32"/>
          <w:szCs w:val="32"/>
        </w:rPr>
        <w:lastRenderedPageBreak/>
        <w:t>附件</w:t>
      </w:r>
      <w:r>
        <w:rPr>
          <w:rFonts w:ascii="Times New Roman" w:eastAsia="方正黑体简体" w:hAnsi="Times New Roman" w:hint="eastAsia"/>
          <w:bCs/>
          <w:sz w:val="32"/>
          <w:szCs w:val="32"/>
        </w:rPr>
        <w:t>1-1</w:t>
      </w:r>
    </w:p>
    <w:p w:rsidR="008E4FCC" w:rsidRDefault="008E4FCC" w:rsidP="008E4FCC">
      <w:pPr>
        <w:suppressAutoHyphens/>
        <w:adjustRightInd w:val="0"/>
        <w:snapToGrid w:val="0"/>
        <w:spacing w:line="600" w:lineRule="exact"/>
        <w:jc w:val="center"/>
        <w:outlineLvl w:val="0"/>
        <w:rPr>
          <w:rFonts w:ascii="Times New Roman" w:eastAsia="方正小标宋简体" w:hAnsi="Times New Roman"/>
          <w:sz w:val="44"/>
          <w:szCs w:val="44"/>
        </w:rPr>
      </w:pPr>
      <w:r>
        <w:rPr>
          <w:rFonts w:ascii="Times New Roman" w:eastAsia="方正小标宋简体" w:hAnsi="Times New Roman"/>
          <w:sz w:val="44"/>
          <w:szCs w:val="44"/>
        </w:rPr>
        <w:t>成都市公共领域车辆电动化目标分解表</w:t>
      </w:r>
    </w:p>
    <w:tbl>
      <w:tblPr>
        <w:tblW w:w="8878" w:type="dxa"/>
        <w:jc w:val="center"/>
        <w:tblLook w:val="0000"/>
      </w:tblPr>
      <w:tblGrid>
        <w:gridCol w:w="842"/>
        <w:gridCol w:w="2219"/>
        <w:gridCol w:w="1383"/>
        <w:gridCol w:w="1383"/>
        <w:gridCol w:w="1383"/>
        <w:gridCol w:w="1668"/>
      </w:tblGrid>
      <w:tr w:rsidR="008E4FCC" w:rsidTr="00550692">
        <w:trPr>
          <w:cantSplit/>
          <w:trHeight w:val="317"/>
          <w:tblHeader/>
          <w:jc w:val="center"/>
        </w:trPr>
        <w:tc>
          <w:tcPr>
            <w:tcW w:w="0" w:type="auto"/>
            <w:vMerge w:val="restart"/>
            <w:tcBorders>
              <w:top w:val="single" w:sz="4" w:space="0" w:color="auto"/>
              <w:left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黑体简体" w:hAnsi="Times New Roman"/>
                <w:szCs w:val="21"/>
              </w:rPr>
            </w:pPr>
            <w:r>
              <w:rPr>
                <w:rFonts w:ascii="Times New Roman" w:eastAsia="方正黑体简体" w:hAnsi="Times New Roman"/>
                <w:szCs w:val="21"/>
              </w:rPr>
              <w:t>序号</w:t>
            </w:r>
          </w:p>
        </w:tc>
        <w:tc>
          <w:tcPr>
            <w:tcW w:w="0" w:type="auto"/>
            <w:vMerge w:val="restart"/>
            <w:tcBorders>
              <w:top w:val="single" w:sz="4" w:space="0" w:color="auto"/>
              <w:left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黑体简体" w:hAnsi="Times New Roman"/>
                <w:szCs w:val="21"/>
              </w:rPr>
            </w:pPr>
            <w:r>
              <w:rPr>
                <w:rFonts w:ascii="Times New Roman" w:eastAsia="方正黑体简体" w:hAnsi="Times New Roman"/>
                <w:szCs w:val="21"/>
              </w:rPr>
              <w:t>区（市）县</w:t>
            </w:r>
          </w:p>
        </w:tc>
        <w:tc>
          <w:tcPr>
            <w:tcW w:w="0" w:type="auto"/>
            <w:gridSpan w:val="3"/>
            <w:tcBorders>
              <w:top w:val="single" w:sz="4" w:space="0" w:color="auto"/>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黑体简体" w:hAnsi="Times New Roman"/>
                <w:szCs w:val="21"/>
              </w:rPr>
            </w:pPr>
            <w:r>
              <w:rPr>
                <w:rFonts w:ascii="Times New Roman" w:eastAsia="方正黑体简体" w:hAnsi="Times New Roman"/>
                <w:szCs w:val="21"/>
              </w:rPr>
              <w:t>公共领域车辆电动化目标（辆）</w:t>
            </w:r>
          </w:p>
        </w:tc>
        <w:tc>
          <w:tcPr>
            <w:tcW w:w="0" w:type="auto"/>
            <w:vMerge w:val="restart"/>
            <w:tcBorders>
              <w:top w:val="single" w:sz="4" w:space="0" w:color="auto"/>
              <w:left w:val="nil"/>
              <w:right w:val="single" w:sz="4" w:space="0" w:color="auto"/>
            </w:tcBorders>
            <w:noWrap/>
            <w:vAlign w:val="center"/>
          </w:tcPr>
          <w:p w:rsidR="008E4FCC" w:rsidRDefault="008E4FCC" w:rsidP="00550692">
            <w:pPr>
              <w:overflowPunct w:val="0"/>
              <w:spacing w:line="240" w:lineRule="exact"/>
              <w:jc w:val="center"/>
              <w:rPr>
                <w:rFonts w:ascii="Times New Roman" w:eastAsia="方正黑体简体" w:hAnsi="Times New Roman"/>
                <w:szCs w:val="21"/>
              </w:rPr>
            </w:pPr>
            <w:r>
              <w:rPr>
                <w:rFonts w:ascii="Times New Roman" w:eastAsia="方正黑体简体" w:hAnsi="Times New Roman"/>
                <w:szCs w:val="21"/>
              </w:rPr>
              <w:t>合计（辆）</w:t>
            </w:r>
          </w:p>
        </w:tc>
      </w:tr>
      <w:tr w:rsidR="008E4FCC" w:rsidTr="00550692">
        <w:trPr>
          <w:cantSplit/>
          <w:trHeight w:val="317"/>
          <w:tblHeader/>
          <w:jc w:val="center"/>
        </w:trPr>
        <w:tc>
          <w:tcPr>
            <w:tcW w:w="0" w:type="auto"/>
            <w:vMerge/>
            <w:tcBorders>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p>
        </w:tc>
        <w:tc>
          <w:tcPr>
            <w:tcW w:w="0" w:type="auto"/>
            <w:vMerge/>
            <w:tcBorders>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p>
        </w:tc>
        <w:tc>
          <w:tcPr>
            <w:tcW w:w="0" w:type="auto"/>
            <w:tcBorders>
              <w:top w:val="single" w:sz="4" w:space="0" w:color="auto"/>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黑体简体" w:hAnsi="Times New Roman"/>
                <w:szCs w:val="21"/>
              </w:rPr>
            </w:pPr>
            <w:r>
              <w:rPr>
                <w:rFonts w:ascii="Times New Roman" w:eastAsia="方正黑体简体" w:hAnsi="Times New Roman"/>
                <w:szCs w:val="21"/>
              </w:rPr>
              <w:t>2023</w:t>
            </w:r>
            <w:r>
              <w:rPr>
                <w:rFonts w:ascii="Times New Roman" w:eastAsia="方正黑体简体" w:hAnsi="Times New Roman"/>
                <w:szCs w:val="21"/>
              </w:rPr>
              <w:t>年</w:t>
            </w:r>
          </w:p>
        </w:tc>
        <w:tc>
          <w:tcPr>
            <w:tcW w:w="0" w:type="auto"/>
            <w:tcBorders>
              <w:top w:val="single" w:sz="4" w:space="0" w:color="auto"/>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黑体简体" w:hAnsi="Times New Roman"/>
                <w:szCs w:val="21"/>
              </w:rPr>
            </w:pPr>
            <w:r>
              <w:rPr>
                <w:rFonts w:ascii="Times New Roman" w:eastAsia="方正黑体简体" w:hAnsi="Times New Roman"/>
                <w:szCs w:val="21"/>
              </w:rPr>
              <w:t>2024</w:t>
            </w:r>
            <w:r>
              <w:rPr>
                <w:rFonts w:ascii="Times New Roman" w:eastAsia="方正黑体简体" w:hAnsi="Times New Roman"/>
                <w:szCs w:val="21"/>
              </w:rPr>
              <w:t>年</w:t>
            </w:r>
          </w:p>
        </w:tc>
        <w:tc>
          <w:tcPr>
            <w:tcW w:w="0" w:type="auto"/>
            <w:tcBorders>
              <w:top w:val="single" w:sz="4" w:space="0" w:color="auto"/>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黑体简体" w:hAnsi="Times New Roman"/>
                <w:szCs w:val="21"/>
              </w:rPr>
            </w:pPr>
            <w:r>
              <w:rPr>
                <w:rFonts w:ascii="Times New Roman" w:eastAsia="方正黑体简体" w:hAnsi="Times New Roman"/>
                <w:szCs w:val="21"/>
              </w:rPr>
              <w:t>2025</w:t>
            </w:r>
            <w:r>
              <w:rPr>
                <w:rFonts w:ascii="Times New Roman" w:eastAsia="方正黑体简体" w:hAnsi="Times New Roman"/>
                <w:szCs w:val="21"/>
              </w:rPr>
              <w:t>年</w:t>
            </w:r>
          </w:p>
        </w:tc>
        <w:tc>
          <w:tcPr>
            <w:tcW w:w="0" w:type="auto"/>
            <w:vMerge/>
            <w:tcBorders>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四川天府新区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483</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133</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149</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765</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成都东部新区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408</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364</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351</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1123</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成都高新区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404</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380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388</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1172</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锦江区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432</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354</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346</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1132</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5</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青羊区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725</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990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809</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2524</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6</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金牛区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751</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2762</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1448</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4961</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7</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武侯区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448</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773</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817</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2038</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8</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成华区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406</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595</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501</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1502</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9</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龙泉驿区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487</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600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1092</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2179</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10</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青白江区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879</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2934</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2351</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6164</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11</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新都区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389</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577</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694</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1660</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12</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温江区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824</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719</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510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2063</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13</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双流区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598</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722</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502</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1822</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14</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郫都区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479</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490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589</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1558</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15</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新津区</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230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166</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155</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551</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16</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简阳市</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153</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129</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332</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614</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17</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都江堰市</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177</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284</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277</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738</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18</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彭州市</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308</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216</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174</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698</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19</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邛崃市</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239</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84</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96</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419</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20</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崇州市</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400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367</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299</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1066</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21</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金堂县</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137</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140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140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417</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22</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大邑县</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43</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132</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108</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283</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23</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蒲江县</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38</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44</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102</w:t>
            </w:r>
          </w:p>
        </w:tc>
      </w:tr>
      <w:tr w:rsidR="008E4FCC" w:rsidTr="00550692">
        <w:trPr>
          <w:cantSplit/>
          <w:trHeight w:val="317"/>
          <w:jc w:val="center"/>
        </w:trPr>
        <w:tc>
          <w:tcPr>
            <w:tcW w:w="0" w:type="auto"/>
            <w:gridSpan w:val="2"/>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合计</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9420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13949</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12172</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35551</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24</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市公交集团</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435</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258</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733</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25</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火管办</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4</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26</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二环高架</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36</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36</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27</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三环路路桥公司</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117</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117</w:t>
            </w:r>
          </w:p>
        </w:tc>
      </w:tr>
      <w:tr w:rsidR="008E4FCC" w:rsidTr="00550692">
        <w:trPr>
          <w:cantSplit/>
          <w:trHeight w:val="317"/>
          <w:jc w:val="center"/>
        </w:trPr>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28</w:t>
            </w:r>
          </w:p>
        </w:tc>
        <w:tc>
          <w:tcPr>
            <w:tcW w:w="0" w:type="auto"/>
            <w:tcBorders>
              <w:top w:val="nil"/>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市属国企</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139</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300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200</w:t>
            </w:r>
          </w:p>
        </w:tc>
        <w:tc>
          <w:tcPr>
            <w:tcW w:w="0" w:type="auto"/>
            <w:tcBorders>
              <w:top w:val="nil"/>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639</w:t>
            </w:r>
          </w:p>
        </w:tc>
      </w:tr>
      <w:tr w:rsidR="008E4FCC" w:rsidTr="00550692">
        <w:trPr>
          <w:cantSplit/>
          <w:trHeight w:val="317"/>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合计</w:t>
            </w:r>
          </w:p>
        </w:tc>
        <w:tc>
          <w:tcPr>
            <w:tcW w:w="0" w:type="auto"/>
            <w:tcBorders>
              <w:top w:val="single" w:sz="4" w:space="0" w:color="auto"/>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610</w:t>
            </w:r>
          </w:p>
        </w:tc>
        <w:tc>
          <w:tcPr>
            <w:tcW w:w="0" w:type="auto"/>
            <w:tcBorders>
              <w:top w:val="single" w:sz="4" w:space="0" w:color="auto"/>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677</w:t>
            </w:r>
          </w:p>
        </w:tc>
        <w:tc>
          <w:tcPr>
            <w:tcW w:w="0" w:type="auto"/>
            <w:tcBorders>
              <w:top w:val="single" w:sz="4" w:space="0" w:color="auto"/>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242</w:t>
            </w:r>
          </w:p>
        </w:tc>
        <w:tc>
          <w:tcPr>
            <w:tcW w:w="0" w:type="auto"/>
            <w:tcBorders>
              <w:top w:val="single" w:sz="4" w:space="0" w:color="auto"/>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1529</w:t>
            </w:r>
          </w:p>
        </w:tc>
      </w:tr>
      <w:tr w:rsidR="008E4FCC" w:rsidTr="00550692">
        <w:trPr>
          <w:cantSplit/>
          <w:trHeight w:val="33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总计</w:t>
            </w:r>
          </w:p>
        </w:tc>
        <w:tc>
          <w:tcPr>
            <w:tcW w:w="0" w:type="auto"/>
            <w:tcBorders>
              <w:top w:val="single" w:sz="4" w:space="0" w:color="auto"/>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10030</w:t>
            </w:r>
          </w:p>
        </w:tc>
        <w:tc>
          <w:tcPr>
            <w:tcW w:w="0" w:type="auto"/>
            <w:tcBorders>
              <w:top w:val="single" w:sz="4" w:space="0" w:color="auto"/>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14636</w:t>
            </w:r>
          </w:p>
        </w:tc>
        <w:tc>
          <w:tcPr>
            <w:tcW w:w="0" w:type="auto"/>
            <w:tcBorders>
              <w:top w:val="single" w:sz="4" w:space="0" w:color="auto"/>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12414</w:t>
            </w:r>
          </w:p>
        </w:tc>
        <w:tc>
          <w:tcPr>
            <w:tcW w:w="0" w:type="auto"/>
            <w:tcBorders>
              <w:top w:val="single" w:sz="4" w:space="0" w:color="auto"/>
              <w:left w:val="nil"/>
              <w:bottom w:val="single" w:sz="4" w:space="0" w:color="auto"/>
              <w:right w:val="single" w:sz="4" w:space="0" w:color="auto"/>
            </w:tcBorders>
            <w:noWrap/>
            <w:vAlign w:val="center"/>
          </w:tcPr>
          <w:p w:rsidR="008E4FCC" w:rsidRDefault="008E4FCC" w:rsidP="00550692">
            <w:pPr>
              <w:overflowPunct w:val="0"/>
              <w:spacing w:line="240" w:lineRule="exact"/>
              <w:jc w:val="center"/>
              <w:rPr>
                <w:rFonts w:ascii="Times New Roman" w:eastAsia="方正仿宋简体" w:hAnsi="Times New Roman"/>
                <w:szCs w:val="21"/>
              </w:rPr>
            </w:pPr>
            <w:r>
              <w:rPr>
                <w:rFonts w:ascii="Times New Roman" w:eastAsia="方正仿宋简体" w:hAnsi="Times New Roman"/>
                <w:szCs w:val="21"/>
              </w:rPr>
              <w:t>37080</w:t>
            </w:r>
          </w:p>
        </w:tc>
      </w:tr>
    </w:tbl>
    <w:p w:rsidR="008E4FCC" w:rsidRDefault="008E4FCC" w:rsidP="008E4FCC">
      <w:pPr>
        <w:adjustRightInd w:val="0"/>
        <w:snapToGrid w:val="0"/>
        <w:spacing w:beforeLines="20"/>
        <w:jc w:val="left"/>
        <w:rPr>
          <w:rFonts w:ascii="Times New Roman" w:eastAsia="方正楷体简体" w:hAnsi="Times New Roman"/>
          <w:sz w:val="24"/>
          <w:szCs w:val="24"/>
        </w:rPr>
      </w:pPr>
      <w:r>
        <w:rPr>
          <w:rFonts w:ascii="Times New Roman" w:eastAsia="方正楷体简体" w:hAnsi="Times New Roman"/>
          <w:sz w:val="24"/>
          <w:szCs w:val="24"/>
        </w:rPr>
        <w:t>备注：上述目标将根据总体目标完成情况进行动态优化调整。</w:t>
      </w:r>
    </w:p>
    <w:p w:rsidR="008E4FCC" w:rsidRDefault="008E4FCC" w:rsidP="008E4FCC">
      <w:pPr>
        <w:rPr>
          <w:rFonts w:ascii="Times New Roman" w:eastAsia="方正仿宋简体" w:hAnsi="Times New Roman"/>
          <w:sz w:val="32"/>
          <w:szCs w:val="32"/>
        </w:rPr>
      </w:pPr>
    </w:p>
    <w:p w:rsidR="008E4FCC" w:rsidRDefault="008E4FCC" w:rsidP="008E4FCC">
      <w:pPr>
        <w:suppressAutoHyphens/>
        <w:adjustRightInd w:val="0"/>
        <w:snapToGrid w:val="0"/>
        <w:rPr>
          <w:rFonts w:ascii="Times New Roman" w:eastAsia="黑体" w:hAnsi="Times New Roman" w:hint="eastAsia"/>
          <w:bCs/>
          <w:sz w:val="32"/>
          <w:szCs w:val="32"/>
        </w:rPr>
      </w:pPr>
      <w:r>
        <w:rPr>
          <w:rFonts w:ascii="Times New Roman" w:eastAsia="黑体" w:hAnsi="Times New Roman"/>
          <w:bCs/>
          <w:sz w:val="32"/>
          <w:szCs w:val="32"/>
        </w:rPr>
        <w:lastRenderedPageBreak/>
        <w:t>附件</w:t>
      </w:r>
      <w:r>
        <w:rPr>
          <w:rFonts w:ascii="Times New Roman" w:eastAsia="黑体" w:hAnsi="Times New Roman" w:hint="eastAsia"/>
          <w:bCs/>
          <w:sz w:val="32"/>
          <w:szCs w:val="32"/>
        </w:rPr>
        <w:t>1-</w:t>
      </w:r>
      <w:r>
        <w:rPr>
          <w:rFonts w:ascii="Times New Roman" w:eastAsia="黑体" w:hAnsi="Times New Roman"/>
          <w:bCs/>
          <w:sz w:val="32"/>
          <w:szCs w:val="32"/>
        </w:rPr>
        <w:t>2</w:t>
      </w:r>
    </w:p>
    <w:p w:rsidR="008E4FCC" w:rsidRDefault="008E4FCC" w:rsidP="008E4FCC">
      <w:pPr>
        <w:adjustRightInd w:val="0"/>
        <w:snapToGrid w:val="0"/>
        <w:jc w:val="center"/>
        <w:rPr>
          <w:rFonts w:ascii="Times New Roman" w:eastAsia="Times New Roman" w:hAnsi="Times New Roman" w:hint="eastAsia"/>
          <w:sz w:val="44"/>
          <w:szCs w:val="44"/>
        </w:rPr>
      </w:pPr>
      <w:r>
        <w:rPr>
          <w:rFonts w:ascii="方正小标宋简体" w:eastAsia="方正小标宋简体" w:hAnsi="方正小标宋简体" w:cs="方正小标宋简体"/>
          <w:sz w:val="44"/>
          <w:szCs w:val="44"/>
          <w:lang w:val="zh-TW" w:eastAsia="zh-TW"/>
        </w:rPr>
        <w:t>成都市</w:t>
      </w:r>
      <w:r>
        <w:rPr>
          <w:rFonts w:ascii="Times New Roman" w:eastAsia="方正仿宋简体" w:hAnsi="Times New Roman"/>
          <w:sz w:val="44"/>
          <w:szCs w:val="44"/>
        </w:rPr>
        <w:t>202</w:t>
      </w:r>
      <w:r>
        <w:rPr>
          <w:rFonts w:ascii="Times New Roman" w:eastAsia="宋体" w:hAnsi="Times New Roman" w:hint="eastAsia"/>
          <w:sz w:val="44"/>
          <w:szCs w:val="44"/>
        </w:rPr>
        <w:t>4</w:t>
      </w:r>
      <w:r>
        <w:rPr>
          <w:rFonts w:ascii="方正小标宋简体" w:eastAsia="方正小标宋简体" w:hAnsi="方正小标宋简体" w:cs="方正小标宋简体"/>
          <w:sz w:val="44"/>
          <w:szCs w:val="44"/>
          <w:lang w:val="zh-TW" w:eastAsia="zh-TW"/>
        </w:rPr>
        <w:t>年充</w:t>
      </w:r>
      <w:r>
        <w:rPr>
          <w:rFonts w:ascii="方正小标宋简体" w:eastAsia="方正小标宋简体" w:hAnsi="方正小标宋简体" w:cs="方正小标宋简体" w:hint="eastAsia"/>
          <w:sz w:val="44"/>
          <w:szCs w:val="44"/>
          <w:lang w:val="zh-TW" w:eastAsia="zh-TW"/>
        </w:rPr>
        <w:t>换</w:t>
      </w:r>
      <w:r>
        <w:rPr>
          <w:rFonts w:ascii="方正小标宋简体" w:eastAsia="方正小标宋简体" w:hAnsi="方正小标宋简体" w:cs="方正小标宋简体"/>
          <w:sz w:val="44"/>
          <w:szCs w:val="44"/>
          <w:lang w:val="zh-TW" w:eastAsia="zh-TW"/>
        </w:rPr>
        <w:t>电设施建设任务量分解表</w:t>
      </w:r>
    </w:p>
    <w:tbl>
      <w:tblPr>
        <w:tblW w:w="87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00"/>
      </w:tblPr>
      <w:tblGrid>
        <w:gridCol w:w="644"/>
        <w:gridCol w:w="1666"/>
        <w:gridCol w:w="1759"/>
        <w:gridCol w:w="1769"/>
        <w:gridCol w:w="1397"/>
        <w:gridCol w:w="1542"/>
      </w:tblGrid>
      <w:tr w:rsidR="008E4FCC" w:rsidTr="00550692">
        <w:trPr>
          <w:trHeight w:val="183"/>
          <w:tblHeader/>
          <w:jc w:val="center"/>
        </w:trPr>
        <w:tc>
          <w:tcPr>
            <w:tcW w:w="644" w:type="dxa"/>
            <w:vMerge w:val="restart"/>
            <w:tcBorders>
              <w:top w:val="single" w:sz="4" w:space="0" w:color="000000"/>
              <w:left w:val="single" w:sz="4"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rPr>
                <w:rFonts w:ascii="Times New Roman" w:eastAsia="方正黑体简体" w:hAnsi="Times New Roman"/>
                <w:szCs w:val="21"/>
              </w:rPr>
            </w:pPr>
            <w:r>
              <w:rPr>
                <w:rFonts w:ascii="Times New Roman" w:eastAsia="方正黑体简体" w:hAnsi="Times New Roman"/>
                <w:kern w:val="0"/>
                <w:szCs w:val="21"/>
                <w:lang w:val="zh-TW" w:eastAsia="zh-TW"/>
              </w:rPr>
              <w:t>序号</w:t>
            </w:r>
          </w:p>
        </w:tc>
        <w:tc>
          <w:tcPr>
            <w:tcW w:w="1666" w:type="dxa"/>
            <w:vMerge w:val="restart"/>
            <w:tcBorders>
              <w:top w:val="single" w:sz="4" w:space="0" w:color="000000"/>
              <w:left w:val="single" w:sz="8" w:space="0" w:color="000000"/>
              <w:right w:val="single" w:sz="4"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rPr>
                <w:rFonts w:ascii="Times New Roman" w:eastAsia="方正黑体简体" w:hAnsi="Times New Roman"/>
                <w:szCs w:val="21"/>
              </w:rPr>
            </w:pPr>
            <w:r>
              <w:rPr>
                <w:rFonts w:ascii="Times New Roman" w:eastAsia="方正黑体简体" w:hAnsi="Times New Roman"/>
                <w:kern w:val="0"/>
                <w:szCs w:val="21"/>
                <w:lang w:val="zh-TW" w:eastAsia="zh-TW"/>
              </w:rPr>
              <w:t>区（市）县</w:t>
            </w:r>
          </w:p>
        </w:tc>
        <w:tc>
          <w:tcPr>
            <w:tcW w:w="4925" w:type="dxa"/>
            <w:gridSpan w:val="3"/>
            <w:tcBorders>
              <w:top w:val="single" w:sz="8" w:space="0" w:color="000000"/>
              <w:left w:val="single" w:sz="4"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黑体简体" w:hAnsi="Times New Roman"/>
                <w:szCs w:val="21"/>
              </w:rPr>
            </w:pPr>
            <w:r>
              <w:rPr>
                <w:rFonts w:ascii="Times New Roman" w:eastAsia="方正黑体简体" w:hAnsi="Times New Roman"/>
                <w:kern w:val="0"/>
                <w:szCs w:val="21"/>
                <w:lang w:val="zh-TW" w:eastAsia="zh-TW"/>
              </w:rPr>
              <w:t>充电桩任务量</w:t>
            </w:r>
          </w:p>
        </w:tc>
        <w:tc>
          <w:tcPr>
            <w:tcW w:w="1542" w:type="dxa"/>
            <w:vMerge w:val="restart"/>
            <w:tcBorders>
              <w:top w:val="single" w:sz="8" w:space="0" w:color="000000"/>
              <w:left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rPr>
                <w:rFonts w:ascii="Times New Roman" w:eastAsia="方正黑体简体" w:hAnsi="Times New Roman"/>
                <w:szCs w:val="21"/>
              </w:rPr>
            </w:pPr>
            <w:r>
              <w:rPr>
                <w:rFonts w:ascii="Times New Roman" w:eastAsia="方正黑体简体" w:hAnsi="Times New Roman"/>
                <w:kern w:val="0"/>
                <w:szCs w:val="21"/>
                <w:lang w:val="zh-TW"/>
              </w:rPr>
              <w:t>换</w:t>
            </w:r>
            <w:r>
              <w:rPr>
                <w:rFonts w:ascii="Times New Roman" w:eastAsia="方正黑体简体" w:hAnsi="Times New Roman"/>
                <w:kern w:val="0"/>
                <w:szCs w:val="21"/>
                <w:lang w:val="zh-TW" w:eastAsia="zh-TW"/>
              </w:rPr>
              <w:t>电站任务量</w:t>
            </w:r>
          </w:p>
        </w:tc>
      </w:tr>
      <w:tr w:rsidR="008E4FCC" w:rsidTr="00550692">
        <w:trPr>
          <w:trHeight w:val="183"/>
          <w:tblHeader/>
          <w:jc w:val="center"/>
        </w:trPr>
        <w:tc>
          <w:tcPr>
            <w:tcW w:w="644" w:type="dxa"/>
            <w:vMerge/>
            <w:tcBorders>
              <w:left w:val="single" w:sz="4"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rPr>
                <w:rFonts w:ascii="Times New Roman" w:eastAsia="方正仿宋简体" w:hAnsi="Times New Roman"/>
                <w:kern w:val="0"/>
                <w:szCs w:val="21"/>
              </w:rPr>
            </w:pPr>
          </w:p>
        </w:tc>
        <w:tc>
          <w:tcPr>
            <w:tcW w:w="1666" w:type="dxa"/>
            <w:vMerge/>
            <w:tcBorders>
              <w:left w:val="single" w:sz="8" w:space="0" w:color="000000"/>
              <w:right w:val="single" w:sz="4"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p>
        </w:tc>
        <w:tc>
          <w:tcPr>
            <w:tcW w:w="1759" w:type="dxa"/>
            <w:vMerge w:val="restart"/>
            <w:tcBorders>
              <w:top w:val="single" w:sz="8" w:space="0" w:color="000000"/>
              <w:left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rPr>
                <w:rFonts w:ascii="Times New Roman" w:eastAsia="方正黑体简体" w:hAnsi="Times New Roman"/>
                <w:kern w:val="0"/>
                <w:szCs w:val="21"/>
                <w:lang w:val="zh-TW" w:eastAsia="zh-TW"/>
              </w:rPr>
            </w:pPr>
            <w:r>
              <w:rPr>
                <w:rFonts w:ascii="Times New Roman" w:eastAsia="方正黑体简体" w:hAnsi="Times New Roman"/>
                <w:kern w:val="0"/>
                <w:szCs w:val="21"/>
                <w:lang w:val="zh-TW" w:eastAsia="zh-TW"/>
              </w:rPr>
              <w:t>公专用领域（含乡乡全覆盖和景区充电基础设施）</w:t>
            </w:r>
          </w:p>
        </w:tc>
        <w:tc>
          <w:tcPr>
            <w:tcW w:w="3166" w:type="dxa"/>
            <w:gridSpan w:val="2"/>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黑体简体" w:hAnsi="Times New Roman"/>
                <w:kern w:val="0"/>
                <w:szCs w:val="21"/>
                <w:lang w:val="zh-TW" w:eastAsia="zh-TW"/>
              </w:rPr>
            </w:pPr>
            <w:r>
              <w:rPr>
                <w:rFonts w:ascii="Times New Roman" w:eastAsia="方正黑体简体" w:hAnsi="Times New Roman"/>
                <w:kern w:val="0"/>
                <w:szCs w:val="21"/>
                <w:lang w:val="zh-TW" w:eastAsia="zh-TW"/>
              </w:rPr>
              <w:t>居民小区</w:t>
            </w:r>
          </w:p>
        </w:tc>
        <w:tc>
          <w:tcPr>
            <w:tcW w:w="1542" w:type="dxa"/>
            <w:vMerge/>
            <w:tcBorders>
              <w:left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rPr>
                <w:rFonts w:ascii="Times New Roman" w:eastAsia="方正仿宋简体" w:hAnsi="Times New Roman"/>
                <w:kern w:val="0"/>
                <w:szCs w:val="21"/>
              </w:rPr>
            </w:pPr>
          </w:p>
        </w:tc>
      </w:tr>
      <w:tr w:rsidR="008E4FCC" w:rsidTr="00550692">
        <w:trPr>
          <w:trHeight w:val="252"/>
          <w:tblHeader/>
          <w:jc w:val="center"/>
        </w:trPr>
        <w:tc>
          <w:tcPr>
            <w:tcW w:w="644" w:type="dxa"/>
            <w:vMerge/>
            <w:tcBorders>
              <w:left w:val="single" w:sz="4"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kern w:val="0"/>
                <w:szCs w:val="21"/>
              </w:rPr>
            </w:pPr>
          </w:p>
        </w:tc>
        <w:tc>
          <w:tcPr>
            <w:tcW w:w="1666" w:type="dxa"/>
            <w:vMerge/>
            <w:tcBorders>
              <w:left w:val="single" w:sz="8" w:space="0" w:color="000000"/>
              <w:bottom w:val="single" w:sz="8" w:space="0" w:color="000000"/>
              <w:right w:val="single" w:sz="4"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kern w:val="0"/>
                <w:szCs w:val="21"/>
              </w:rPr>
            </w:pPr>
          </w:p>
        </w:tc>
        <w:tc>
          <w:tcPr>
            <w:tcW w:w="1759" w:type="dxa"/>
            <w:vMerge/>
            <w:tcBorders>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黑体简体" w:hAnsi="Times New Roman"/>
                <w:kern w:val="0"/>
                <w:szCs w:val="21"/>
                <w:lang w:val="zh-TW" w:eastAsia="zh-TW"/>
              </w:rPr>
            </w:pP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黑体简体" w:hAnsi="Times New Roman"/>
                <w:kern w:val="0"/>
                <w:szCs w:val="21"/>
                <w:lang w:val="zh-TW" w:eastAsia="zh-TW"/>
              </w:rPr>
            </w:pPr>
            <w:r>
              <w:rPr>
                <w:rFonts w:ascii="Times New Roman" w:eastAsia="方正黑体简体" w:hAnsi="Times New Roman"/>
                <w:kern w:val="0"/>
                <w:szCs w:val="21"/>
                <w:lang w:val="zh-TW" w:eastAsia="zh-TW"/>
              </w:rPr>
              <w:t>智慧小区工程项目充电基础设施</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rPr>
                <w:rFonts w:ascii="Times New Roman" w:eastAsia="方正黑体简体" w:hAnsi="Times New Roman"/>
                <w:kern w:val="0"/>
                <w:szCs w:val="21"/>
                <w:lang w:val="zh-TW" w:eastAsia="zh-TW"/>
              </w:rPr>
            </w:pPr>
            <w:r>
              <w:rPr>
                <w:rFonts w:ascii="Times New Roman" w:eastAsia="方正黑体简体" w:hAnsi="Times New Roman"/>
                <w:kern w:val="0"/>
                <w:szCs w:val="21"/>
                <w:lang w:val="zh-TW" w:eastAsia="zh-TW"/>
              </w:rPr>
              <w:t>其他</w:t>
            </w:r>
          </w:p>
        </w:tc>
        <w:tc>
          <w:tcPr>
            <w:tcW w:w="1542" w:type="dxa"/>
            <w:vMerge/>
            <w:tcBorders>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rPr>
                <w:rFonts w:ascii="Times New Roman" w:eastAsia="方正仿宋简体" w:hAnsi="Times New Roman"/>
                <w:kern w:val="0"/>
                <w:szCs w:val="21"/>
              </w:rPr>
            </w:pPr>
          </w:p>
        </w:tc>
      </w:tr>
      <w:tr w:rsidR="008E4FCC" w:rsidTr="00550692">
        <w:trPr>
          <w:trHeight w:val="183"/>
          <w:jc w:val="center"/>
        </w:trPr>
        <w:tc>
          <w:tcPr>
            <w:tcW w:w="644" w:type="dxa"/>
            <w:tcBorders>
              <w:top w:val="single" w:sz="4"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1</w:t>
            </w:r>
          </w:p>
        </w:tc>
        <w:tc>
          <w:tcPr>
            <w:tcW w:w="1666" w:type="dxa"/>
            <w:tcBorders>
              <w:top w:val="single" w:sz="4"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kern w:val="0"/>
                <w:szCs w:val="21"/>
              </w:rPr>
            </w:pPr>
            <w:r>
              <w:rPr>
                <w:rFonts w:ascii="Times New Roman" w:eastAsia="方正仿宋简体" w:hAnsi="Times New Roman"/>
                <w:kern w:val="0"/>
                <w:szCs w:val="21"/>
              </w:rPr>
              <w:t>四川天府新区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kern w:val="0"/>
                <w:szCs w:val="21"/>
              </w:rPr>
            </w:pPr>
            <w:r>
              <w:rPr>
                <w:rFonts w:ascii="Times New Roman" w:eastAsia="方正仿宋简体" w:hAnsi="Times New Roman"/>
                <w:kern w:val="0"/>
                <w:szCs w:val="21"/>
              </w:rPr>
              <w:t>1300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rPr>
                <w:rFonts w:ascii="Times New Roman" w:eastAsia="方正仿宋简体" w:hAnsi="Times New Roman"/>
                <w:kern w:val="0"/>
                <w:szCs w:val="21"/>
              </w:rPr>
            </w:pPr>
            <w:r>
              <w:rPr>
                <w:rFonts w:ascii="Times New Roman" w:eastAsia="方正仿宋简体" w:hAnsi="Times New Roman"/>
                <w:kern w:val="0"/>
                <w:szCs w:val="21"/>
              </w:rPr>
              <w:t>3</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2</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成都东部新区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900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375</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3</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成都高新区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1300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4</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锦江区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1300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5</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青羊区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1300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6</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金牛区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1300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7</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武侯区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1300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8</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成华区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1300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9</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龙泉驿区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900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375</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10</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青白江区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900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375</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11</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新都区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900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375</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12</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温江区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900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375</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13</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双流区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900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375</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14</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郫都区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900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375</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15</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新津区</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400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900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375</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3</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16</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简阳市</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700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17</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都江堰市</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700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18</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彭州市</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700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19</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邛崃市</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700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20</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崇州市</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700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21</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金堂县</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700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22</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大邑县</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700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rPr>
                <w:rFonts w:ascii="Times New Roman" w:eastAsia="方正仿宋简体" w:hAnsi="Times New Roman"/>
                <w:szCs w:val="21"/>
              </w:rPr>
            </w:pPr>
            <w:r>
              <w:rPr>
                <w:rFonts w:ascii="Times New Roman" w:eastAsia="方正仿宋简体" w:hAnsi="Times New Roman"/>
                <w:kern w:val="0"/>
                <w:szCs w:val="21"/>
              </w:rPr>
              <w:t>23</w:t>
            </w:r>
          </w:p>
        </w:tc>
        <w:tc>
          <w:tcPr>
            <w:tcW w:w="1666"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蒲江县</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500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700</w:t>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w:t>
            </w:r>
          </w:p>
        </w:tc>
      </w:tr>
      <w:tr w:rsidR="008E4FCC" w:rsidTr="00550692">
        <w:trPr>
          <w:trHeight w:val="183"/>
          <w:jc w:val="center"/>
        </w:trPr>
        <w:tc>
          <w:tcPr>
            <w:tcW w:w="2310" w:type="dxa"/>
            <w:gridSpan w:val="2"/>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合计</w:t>
            </w:r>
          </w:p>
        </w:tc>
        <w:tc>
          <w:tcPr>
            <w:tcW w:w="175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10000</w:t>
            </w:r>
          </w:p>
        </w:tc>
        <w:tc>
          <w:tcPr>
            <w:tcW w:w="1769" w:type="dxa"/>
            <w:tcBorders>
              <w:top w:val="single" w:sz="8" w:space="0" w:color="000000"/>
              <w:left w:val="single" w:sz="8" w:space="0" w:color="000000"/>
              <w:bottom w:val="single" w:sz="8" w:space="0" w:color="000000"/>
              <w:right w:val="single" w:sz="8" w:space="0" w:color="000000"/>
            </w:tcBorders>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21900</w:t>
            </w:r>
            <w:r>
              <w:rPr>
                <w:rFonts w:ascii="Times New Roman" w:eastAsia="方正仿宋简体" w:hAnsi="Times New Roman"/>
                <w:kern w:val="0"/>
                <w:szCs w:val="21"/>
              </w:rPr>
              <w:fldChar w:fldCharType="begin"/>
            </w:r>
            <w:r>
              <w:rPr>
                <w:rFonts w:ascii="Times New Roman" w:eastAsia="方正仿宋简体" w:hAnsi="Times New Roman"/>
                <w:kern w:val="0"/>
                <w:szCs w:val="21"/>
              </w:rPr>
              <w:instrText xml:space="preserve"> = sum(D4:D26) \* MERGEFORMAT </w:instrText>
            </w:r>
            <w:r>
              <w:rPr>
                <w:rFonts w:ascii="Times New Roman" w:eastAsia="方正仿宋简体" w:hAnsi="Times New Roman"/>
                <w:kern w:val="0"/>
                <w:szCs w:val="21"/>
              </w:rPr>
              <w:fldChar w:fldCharType="end"/>
            </w:r>
          </w:p>
        </w:tc>
        <w:tc>
          <w:tcPr>
            <w:tcW w:w="139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8100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60</w:t>
            </w:r>
          </w:p>
        </w:tc>
      </w:tr>
      <w:tr w:rsidR="008E4FCC" w:rsidTr="00550692">
        <w:trPr>
          <w:trHeight w:val="183"/>
          <w:jc w:val="center"/>
        </w:trPr>
        <w:tc>
          <w:tcPr>
            <w:tcW w:w="6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rPr>
                <w:rFonts w:ascii="Times New Roman" w:eastAsia="方正仿宋简体" w:hAnsi="Times New Roman"/>
                <w:kern w:val="0"/>
                <w:szCs w:val="21"/>
              </w:rPr>
            </w:pPr>
            <w:r>
              <w:rPr>
                <w:rFonts w:ascii="Times New Roman" w:eastAsia="方正仿宋简体" w:hAnsi="Times New Roman"/>
                <w:kern w:val="0"/>
                <w:szCs w:val="21"/>
              </w:rPr>
              <w:t>24</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成都城投集团</w:t>
            </w:r>
          </w:p>
        </w:tc>
        <w:tc>
          <w:tcPr>
            <w:tcW w:w="492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2000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20</w:t>
            </w:r>
          </w:p>
        </w:tc>
      </w:tr>
      <w:tr w:rsidR="008E4FCC" w:rsidTr="00550692">
        <w:trPr>
          <w:trHeight w:val="195"/>
          <w:jc w:val="center"/>
        </w:trPr>
        <w:tc>
          <w:tcPr>
            <w:tcW w:w="6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rPr>
                <w:rFonts w:ascii="Times New Roman" w:eastAsia="方正仿宋简体" w:hAnsi="Times New Roman"/>
                <w:kern w:val="0"/>
                <w:szCs w:val="21"/>
              </w:rPr>
            </w:pPr>
            <w:r>
              <w:rPr>
                <w:rFonts w:ascii="Times New Roman" w:eastAsia="方正仿宋简体" w:hAnsi="Times New Roman"/>
                <w:kern w:val="0"/>
                <w:szCs w:val="21"/>
              </w:rPr>
              <w:t>25</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成都交投集团</w:t>
            </w:r>
          </w:p>
        </w:tc>
        <w:tc>
          <w:tcPr>
            <w:tcW w:w="4925"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2000</w:t>
            </w:r>
          </w:p>
        </w:tc>
        <w:tc>
          <w:tcPr>
            <w:tcW w:w="15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4FCC" w:rsidRDefault="008E4FCC" w:rsidP="00550692">
            <w:pPr>
              <w:adjustRightInd w:val="0"/>
              <w:snapToGrid w:val="0"/>
              <w:spacing w:line="200" w:lineRule="exact"/>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20</w:t>
            </w:r>
          </w:p>
        </w:tc>
      </w:tr>
    </w:tbl>
    <w:p w:rsidR="008E4FCC" w:rsidRDefault="008E4FCC" w:rsidP="008E4FCC">
      <w:pPr>
        <w:adjustRightInd w:val="0"/>
        <w:snapToGrid w:val="0"/>
        <w:spacing w:beforeLines="20"/>
        <w:ind w:left="922" w:hangingChars="448" w:hanging="922"/>
        <w:textAlignment w:val="center"/>
        <w:rPr>
          <w:rFonts w:ascii="Times New Roman" w:eastAsia="方正仿宋简体" w:hAnsi="Times New Roman" w:hint="eastAsia"/>
          <w:kern w:val="0"/>
          <w:szCs w:val="24"/>
        </w:rPr>
      </w:pPr>
      <w:r>
        <w:rPr>
          <w:rFonts w:ascii="Times New Roman" w:eastAsia="方正仿宋简体" w:hAnsi="Times New Roman" w:hint="eastAsia"/>
          <w:kern w:val="0"/>
          <w:szCs w:val="24"/>
        </w:rPr>
        <w:t>备注：</w:t>
      </w:r>
      <w:r>
        <w:rPr>
          <w:rFonts w:ascii="Times New Roman" w:eastAsia="方正仿宋简体" w:hAnsi="Times New Roman" w:hint="eastAsia"/>
          <w:kern w:val="0"/>
          <w:szCs w:val="24"/>
        </w:rPr>
        <w:t>1</w:t>
      </w:r>
      <w:r>
        <w:rPr>
          <w:rFonts w:ascii="Times New Roman" w:eastAsia="方正仿宋简体" w:hAnsi="Times New Roman" w:hint="eastAsia"/>
          <w:kern w:val="0"/>
          <w:szCs w:val="24"/>
        </w:rPr>
        <w:t>．</w:t>
      </w:r>
      <w:r>
        <w:rPr>
          <w:rFonts w:ascii="Times New Roman" w:eastAsia="方正仿宋简体" w:hAnsi="Times New Roman" w:hint="eastAsia"/>
          <w:kern w:val="0"/>
          <w:szCs w:val="24"/>
        </w:rPr>
        <w:t>2024</w:t>
      </w:r>
      <w:r>
        <w:rPr>
          <w:rFonts w:ascii="Times New Roman" w:eastAsia="方正仿宋简体" w:hAnsi="Times New Roman" w:hint="eastAsia"/>
          <w:kern w:val="0"/>
          <w:szCs w:val="24"/>
        </w:rPr>
        <w:t>年各区（市）县应实现所有乡镇公用充电桩全覆盖，其中城乡融合片区每个乡镇不少于</w:t>
      </w:r>
      <w:r>
        <w:rPr>
          <w:rFonts w:ascii="Times New Roman" w:eastAsia="方正仿宋简体" w:hAnsi="Times New Roman" w:hint="eastAsia"/>
          <w:kern w:val="0"/>
          <w:szCs w:val="24"/>
        </w:rPr>
        <w:t>30</w:t>
      </w:r>
      <w:r>
        <w:rPr>
          <w:rFonts w:ascii="Times New Roman" w:eastAsia="方正仿宋简体" w:hAnsi="Times New Roman" w:hint="eastAsia"/>
          <w:kern w:val="0"/>
          <w:szCs w:val="24"/>
        </w:rPr>
        <w:t>个，农村片区每个乡镇不少于</w:t>
      </w:r>
      <w:r>
        <w:rPr>
          <w:rFonts w:ascii="Times New Roman" w:eastAsia="方正仿宋简体" w:hAnsi="Times New Roman" w:hint="eastAsia"/>
          <w:kern w:val="0"/>
          <w:szCs w:val="24"/>
        </w:rPr>
        <w:t>12</w:t>
      </w:r>
      <w:r>
        <w:rPr>
          <w:rFonts w:ascii="Times New Roman" w:eastAsia="方正仿宋简体" w:hAnsi="Times New Roman" w:hint="eastAsia"/>
          <w:kern w:val="0"/>
          <w:szCs w:val="24"/>
        </w:rPr>
        <w:t>个；</w:t>
      </w:r>
    </w:p>
    <w:p w:rsidR="008E4FCC" w:rsidRDefault="008E4FCC" w:rsidP="008E4FCC">
      <w:pPr>
        <w:adjustRightInd w:val="0"/>
        <w:snapToGrid w:val="0"/>
        <w:spacing w:beforeLines="20"/>
        <w:ind w:leftChars="222" w:left="749" w:hangingChars="142" w:hanging="292"/>
        <w:textAlignment w:val="center"/>
        <w:rPr>
          <w:rFonts w:ascii="Times New Roman" w:eastAsia="方正仿宋简体" w:hAnsi="Times New Roman" w:hint="eastAsia"/>
          <w:kern w:val="0"/>
          <w:szCs w:val="24"/>
        </w:rPr>
      </w:pPr>
      <w:r>
        <w:rPr>
          <w:rFonts w:ascii="Times New Roman" w:eastAsia="方正仿宋简体" w:hAnsi="Times New Roman" w:hint="eastAsia"/>
          <w:kern w:val="0"/>
          <w:szCs w:val="24"/>
        </w:rPr>
        <w:lastRenderedPageBreak/>
        <w:t>2</w:t>
      </w:r>
      <w:r>
        <w:rPr>
          <w:rFonts w:ascii="Times New Roman" w:eastAsia="方正仿宋简体" w:hAnsi="Times New Roman" w:hint="eastAsia"/>
          <w:kern w:val="0"/>
          <w:szCs w:val="24"/>
        </w:rPr>
        <w:t>．智慧小区工程项目是指在居住小区由充电基础设施运营企业统一规划建设、运营维护、安全管理的充电桩，具有主动错避峰有序充电功能（具备负荷管控平台，能够通过平台调整充电时序和功率）的充电基础设施项目；</w:t>
      </w:r>
    </w:p>
    <w:p w:rsidR="008E4FCC" w:rsidRDefault="008E4FCC" w:rsidP="008E4FCC">
      <w:pPr>
        <w:adjustRightInd w:val="0"/>
        <w:snapToGrid w:val="0"/>
        <w:spacing w:beforeLines="20"/>
        <w:ind w:leftChars="222" w:left="749" w:hangingChars="142" w:hanging="292"/>
        <w:textAlignment w:val="center"/>
        <w:rPr>
          <w:rFonts w:ascii="Times New Roman" w:eastAsia="方正仿宋简体" w:hAnsi="Times New Roman" w:hint="eastAsia"/>
          <w:kern w:val="0"/>
          <w:szCs w:val="24"/>
        </w:rPr>
      </w:pPr>
      <w:r>
        <w:rPr>
          <w:rFonts w:ascii="Times New Roman" w:eastAsia="方正仿宋简体" w:hAnsi="Times New Roman" w:hint="eastAsia"/>
          <w:kern w:val="0"/>
          <w:szCs w:val="24"/>
        </w:rPr>
        <w:t>3</w:t>
      </w:r>
      <w:r>
        <w:rPr>
          <w:rFonts w:ascii="Times New Roman" w:eastAsia="方正仿宋简体" w:hAnsi="Times New Roman" w:hint="eastAsia"/>
          <w:kern w:val="0"/>
          <w:szCs w:val="24"/>
        </w:rPr>
        <w:t>．</w:t>
      </w:r>
      <w:r>
        <w:rPr>
          <w:rFonts w:ascii="Times New Roman" w:eastAsia="方正仿宋简体" w:hAnsi="Times New Roman" w:hint="eastAsia"/>
          <w:kern w:val="0"/>
          <w:szCs w:val="24"/>
        </w:rPr>
        <w:t>2024</w:t>
      </w:r>
      <w:r>
        <w:rPr>
          <w:rFonts w:ascii="Times New Roman" w:eastAsia="方正仿宋简体" w:hAnsi="Times New Roman" w:hint="eastAsia"/>
          <w:kern w:val="0"/>
          <w:szCs w:val="24"/>
        </w:rPr>
        <w:t>年各（区）市县</w:t>
      </w:r>
      <w:r>
        <w:rPr>
          <w:rFonts w:ascii="Times New Roman" w:eastAsia="方正仿宋简体" w:hAnsi="Times New Roman" w:hint="eastAsia"/>
          <w:kern w:val="0"/>
          <w:szCs w:val="24"/>
        </w:rPr>
        <w:t>A</w:t>
      </w:r>
      <w:r>
        <w:rPr>
          <w:rFonts w:ascii="Times New Roman" w:eastAsia="方正仿宋简体" w:hAnsi="Times New Roman" w:hint="eastAsia"/>
          <w:kern w:val="0"/>
          <w:szCs w:val="24"/>
        </w:rPr>
        <w:t>级以上景区应实现公用充电桩全覆盖，其中</w:t>
      </w:r>
      <w:r>
        <w:rPr>
          <w:rFonts w:ascii="Times New Roman" w:eastAsia="方正仿宋简体" w:hAnsi="Times New Roman" w:hint="eastAsia"/>
          <w:kern w:val="0"/>
          <w:szCs w:val="24"/>
        </w:rPr>
        <w:t>4A</w:t>
      </w:r>
      <w:r>
        <w:rPr>
          <w:rFonts w:ascii="Times New Roman" w:eastAsia="方正仿宋简体" w:hAnsi="Times New Roman" w:hint="eastAsia"/>
          <w:kern w:val="0"/>
          <w:szCs w:val="24"/>
        </w:rPr>
        <w:t>级以上景区设立电动汽车公共充电区域；</w:t>
      </w:r>
    </w:p>
    <w:p w:rsidR="008E4FCC" w:rsidRDefault="008E4FCC" w:rsidP="008E4FCC">
      <w:pPr>
        <w:adjustRightInd w:val="0"/>
        <w:snapToGrid w:val="0"/>
        <w:spacing w:beforeLines="20"/>
        <w:ind w:leftChars="222" w:left="749" w:hangingChars="142" w:hanging="292"/>
        <w:textAlignment w:val="center"/>
        <w:rPr>
          <w:rFonts w:ascii="Times New Roman" w:eastAsia="方正仿宋简体" w:hAnsi="Times New Roman" w:hint="eastAsia"/>
          <w:kern w:val="0"/>
          <w:szCs w:val="24"/>
        </w:rPr>
      </w:pPr>
      <w:r>
        <w:rPr>
          <w:rFonts w:ascii="Times New Roman" w:eastAsia="方正仿宋简体" w:hAnsi="Times New Roman" w:hint="eastAsia"/>
          <w:kern w:val="0"/>
          <w:szCs w:val="24"/>
        </w:rPr>
        <w:t>4</w:t>
      </w:r>
      <w:r>
        <w:rPr>
          <w:rFonts w:ascii="Times New Roman" w:eastAsia="方正仿宋简体" w:hAnsi="Times New Roman" w:hint="eastAsia"/>
          <w:kern w:val="0"/>
          <w:szCs w:val="24"/>
        </w:rPr>
        <w:t>．目标任务中核定数量以枪口数为单位计算；</w:t>
      </w:r>
    </w:p>
    <w:p w:rsidR="008E4FCC" w:rsidRDefault="008E4FCC" w:rsidP="008E4FCC">
      <w:pPr>
        <w:adjustRightInd w:val="0"/>
        <w:snapToGrid w:val="0"/>
        <w:spacing w:beforeLines="20"/>
        <w:ind w:leftChars="222" w:left="749" w:hangingChars="142" w:hanging="292"/>
        <w:textAlignment w:val="center"/>
        <w:rPr>
          <w:rFonts w:ascii="Times New Roman" w:eastAsia="方正仿宋简体" w:hAnsi="Times New Roman" w:hint="eastAsia"/>
          <w:kern w:val="0"/>
          <w:szCs w:val="24"/>
        </w:rPr>
      </w:pPr>
      <w:r>
        <w:rPr>
          <w:rFonts w:ascii="Times New Roman" w:eastAsia="方正仿宋简体" w:hAnsi="Times New Roman" w:hint="eastAsia"/>
          <w:kern w:val="0"/>
          <w:szCs w:val="24"/>
        </w:rPr>
        <w:t>5</w:t>
      </w:r>
      <w:r>
        <w:rPr>
          <w:rFonts w:ascii="Times New Roman" w:eastAsia="方正仿宋简体" w:hAnsi="Times New Roman" w:hint="eastAsia"/>
          <w:kern w:val="0"/>
          <w:szCs w:val="24"/>
        </w:rPr>
        <w:t>．</w:t>
      </w:r>
      <w:r>
        <w:rPr>
          <w:rFonts w:ascii="Times New Roman" w:eastAsia="方正仿宋简体" w:hAnsi="Times New Roman"/>
          <w:kern w:val="0"/>
          <w:szCs w:val="24"/>
        </w:rPr>
        <w:t>各区（市）县、市级平台公司充（换）电设施建设完成情况纳入市政府民生实事目标考核，按月度收集推进进度并进行排名通报</w:t>
      </w:r>
      <w:r>
        <w:rPr>
          <w:rFonts w:ascii="Times New Roman" w:eastAsia="方正仿宋简体" w:hAnsi="Times New Roman" w:hint="eastAsia"/>
          <w:kern w:val="0"/>
          <w:szCs w:val="24"/>
        </w:rPr>
        <w:t>；</w:t>
      </w:r>
    </w:p>
    <w:p w:rsidR="008E4FCC" w:rsidRDefault="008E4FCC" w:rsidP="008E4FCC">
      <w:pPr>
        <w:adjustRightInd w:val="0"/>
        <w:snapToGrid w:val="0"/>
        <w:spacing w:beforeLines="20"/>
        <w:ind w:leftChars="222" w:left="749" w:hangingChars="142" w:hanging="292"/>
        <w:textAlignment w:val="center"/>
        <w:rPr>
          <w:rFonts w:ascii="Times New Roman" w:eastAsia="方正仿宋简体" w:hAnsi="Times New Roman"/>
          <w:kern w:val="0"/>
          <w:szCs w:val="24"/>
        </w:rPr>
      </w:pPr>
      <w:r>
        <w:rPr>
          <w:rFonts w:ascii="Times New Roman" w:eastAsia="方正仿宋简体" w:hAnsi="Times New Roman" w:hint="eastAsia"/>
          <w:kern w:val="0"/>
          <w:szCs w:val="24"/>
        </w:rPr>
        <w:t>6</w:t>
      </w:r>
      <w:r>
        <w:rPr>
          <w:rFonts w:ascii="Times New Roman" w:eastAsia="方正仿宋简体" w:hAnsi="Times New Roman" w:hint="eastAsia"/>
          <w:kern w:val="0"/>
          <w:szCs w:val="24"/>
        </w:rPr>
        <w:t>．若各（区）市县乡乡全覆盖、智慧小区工程项目、景区充电基础设施任务未完成，将视作全年任务未完成。</w:t>
      </w:r>
    </w:p>
    <w:p w:rsidR="008E4FCC" w:rsidRDefault="008E4FCC" w:rsidP="008E4FCC">
      <w:pPr>
        <w:pStyle w:val="a0"/>
        <w:rPr>
          <w:rFonts w:ascii="Times New Roman" w:eastAsia="黑体" w:hAnsi="黑体" w:hint="eastAsia"/>
          <w:bCs/>
          <w:snapToGrid w:val="0"/>
          <w:kern w:val="0"/>
          <w:sz w:val="28"/>
          <w:szCs w:val="28"/>
          <w:lang w:eastAsia="zh-CN"/>
        </w:rPr>
      </w:pPr>
      <w:r>
        <w:rPr>
          <w:lang w:eastAsia="zh-CN"/>
        </w:rPr>
        <w:br w:type="page"/>
      </w:r>
      <w:bookmarkStart w:id="0" w:name="_Hlk131166778"/>
      <w:r>
        <w:rPr>
          <w:rFonts w:ascii="Times New Roman" w:eastAsia="黑体" w:hAnsi="黑体"/>
          <w:bCs/>
          <w:snapToGrid w:val="0"/>
          <w:kern w:val="0"/>
          <w:sz w:val="28"/>
          <w:szCs w:val="28"/>
        </w:rPr>
        <w:lastRenderedPageBreak/>
        <w:t>附件</w:t>
      </w:r>
      <w:r>
        <w:rPr>
          <w:rFonts w:ascii="Times New Roman" w:eastAsia="黑体" w:hAnsi="黑体" w:hint="eastAsia"/>
          <w:bCs/>
          <w:snapToGrid w:val="0"/>
          <w:kern w:val="0"/>
          <w:sz w:val="28"/>
          <w:szCs w:val="28"/>
          <w:lang w:eastAsia="zh-CN"/>
        </w:rPr>
        <w:t>2</w:t>
      </w:r>
    </w:p>
    <w:p w:rsidR="008E4FCC" w:rsidRDefault="008E4FCC" w:rsidP="008E4FCC">
      <w:pPr>
        <w:pStyle w:val="a0"/>
      </w:pPr>
    </w:p>
    <w:p w:rsidR="008E4FCC" w:rsidRDefault="008E4FCC" w:rsidP="008E4FCC">
      <w:pPr>
        <w:adjustRightInd w:val="0"/>
        <w:snapToGrid w:val="0"/>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意见反馈表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812"/>
        <w:gridCol w:w="1590"/>
        <w:gridCol w:w="3827"/>
      </w:tblGrid>
      <w:tr w:rsidR="008E4FCC" w:rsidTr="00550692">
        <w:trPr>
          <w:trHeight w:val="708"/>
        </w:trPr>
        <w:tc>
          <w:tcPr>
            <w:tcW w:w="1951" w:type="dxa"/>
            <w:vAlign w:val="center"/>
          </w:tcPr>
          <w:p w:rsidR="008E4FCC" w:rsidRDefault="008E4FCC" w:rsidP="00550692">
            <w:pPr>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单位名称</w:t>
            </w:r>
          </w:p>
          <w:p w:rsidR="008E4FCC" w:rsidRDefault="008E4FCC" w:rsidP="00550692">
            <w:pPr>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（加盖公章）</w:t>
            </w:r>
          </w:p>
        </w:tc>
        <w:tc>
          <w:tcPr>
            <w:tcW w:w="7229" w:type="dxa"/>
            <w:gridSpan w:val="3"/>
            <w:vAlign w:val="center"/>
          </w:tcPr>
          <w:p w:rsidR="008E4FCC" w:rsidRDefault="008E4FCC" w:rsidP="00550692">
            <w:pPr>
              <w:jc w:val="center"/>
              <w:rPr>
                <w:rFonts w:ascii="方正仿宋简体" w:eastAsia="方正仿宋简体" w:hAnsi="方正仿宋简体" w:cs="方正仿宋简体" w:hint="eastAsia"/>
                <w:sz w:val="28"/>
                <w:szCs w:val="28"/>
              </w:rPr>
            </w:pPr>
          </w:p>
        </w:tc>
      </w:tr>
      <w:tr w:rsidR="008E4FCC" w:rsidTr="00550692">
        <w:trPr>
          <w:trHeight w:val="704"/>
        </w:trPr>
        <w:tc>
          <w:tcPr>
            <w:tcW w:w="1951" w:type="dxa"/>
            <w:vAlign w:val="center"/>
          </w:tcPr>
          <w:p w:rsidR="008E4FCC" w:rsidRDefault="008E4FCC" w:rsidP="00550692">
            <w:pPr>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联系人</w:t>
            </w:r>
          </w:p>
        </w:tc>
        <w:tc>
          <w:tcPr>
            <w:tcW w:w="1812" w:type="dxa"/>
            <w:vAlign w:val="center"/>
          </w:tcPr>
          <w:p w:rsidR="008E4FCC" w:rsidRDefault="008E4FCC" w:rsidP="00550692">
            <w:pPr>
              <w:jc w:val="center"/>
              <w:rPr>
                <w:rFonts w:ascii="方正仿宋简体" w:eastAsia="方正仿宋简体" w:hAnsi="方正仿宋简体" w:cs="方正仿宋简体" w:hint="eastAsia"/>
                <w:sz w:val="28"/>
                <w:szCs w:val="28"/>
              </w:rPr>
            </w:pPr>
          </w:p>
        </w:tc>
        <w:tc>
          <w:tcPr>
            <w:tcW w:w="1590" w:type="dxa"/>
            <w:vAlign w:val="center"/>
          </w:tcPr>
          <w:p w:rsidR="008E4FCC" w:rsidRDefault="008E4FCC" w:rsidP="00550692">
            <w:pPr>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手机</w:t>
            </w:r>
          </w:p>
        </w:tc>
        <w:tc>
          <w:tcPr>
            <w:tcW w:w="3827" w:type="dxa"/>
            <w:vAlign w:val="center"/>
          </w:tcPr>
          <w:p w:rsidR="008E4FCC" w:rsidRDefault="008E4FCC" w:rsidP="00550692">
            <w:pPr>
              <w:jc w:val="center"/>
              <w:rPr>
                <w:rFonts w:ascii="方正仿宋简体" w:eastAsia="方正仿宋简体" w:hAnsi="方正仿宋简体" w:cs="方正仿宋简体" w:hint="eastAsia"/>
                <w:sz w:val="28"/>
                <w:szCs w:val="28"/>
              </w:rPr>
            </w:pPr>
          </w:p>
        </w:tc>
      </w:tr>
      <w:tr w:rsidR="008E4FCC" w:rsidTr="00550692">
        <w:trPr>
          <w:trHeight w:val="9019"/>
        </w:trPr>
        <w:tc>
          <w:tcPr>
            <w:tcW w:w="1951" w:type="dxa"/>
            <w:vAlign w:val="center"/>
          </w:tcPr>
          <w:p w:rsidR="008E4FCC" w:rsidRDefault="008E4FCC" w:rsidP="00550692">
            <w:pPr>
              <w:jc w:val="center"/>
              <w:rPr>
                <w:rFonts w:ascii="方正仿宋简体" w:eastAsia="方正仿宋简体" w:hAnsi="方正仿宋简体" w:cs="方正仿宋简体" w:hint="eastAsia"/>
                <w:sz w:val="28"/>
                <w:szCs w:val="28"/>
              </w:rPr>
            </w:pPr>
            <w:r>
              <w:rPr>
                <w:rFonts w:ascii="方正仿宋简体" w:eastAsia="方正仿宋简体" w:hAnsi="方正仿宋简体" w:cs="方正仿宋简体" w:hint="eastAsia"/>
                <w:sz w:val="28"/>
                <w:szCs w:val="28"/>
              </w:rPr>
              <w:t>意见建议</w:t>
            </w:r>
          </w:p>
        </w:tc>
        <w:tc>
          <w:tcPr>
            <w:tcW w:w="7229" w:type="dxa"/>
            <w:gridSpan w:val="3"/>
          </w:tcPr>
          <w:p w:rsidR="008E4FCC" w:rsidRDefault="008E4FCC" w:rsidP="00550692">
            <w:pPr>
              <w:rPr>
                <w:rFonts w:ascii="方正仿宋简体" w:eastAsia="方正仿宋简体" w:hAnsi="方正仿宋简体" w:cs="方正仿宋简体" w:hint="eastAsia"/>
                <w:sz w:val="28"/>
                <w:szCs w:val="28"/>
              </w:rPr>
            </w:pPr>
          </w:p>
        </w:tc>
      </w:tr>
      <w:bookmarkEnd w:id="0"/>
    </w:tbl>
    <w:p w:rsidR="008E4FCC" w:rsidRDefault="008E4FCC" w:rsidP="008E4FCC">
      <w:pPr>
        <w:adjustRightInd w:val="0"/>
        <w:snapToGrid w:val="0"/>
        <w:jc w:val="center"/>
        <w:rPr>
          <w:rFonts w:ascii="Times New Roman" w:eastAsia="方正小标宋简体" w:hAnsi="Times New Roman" w:hint="eastAsia"/>
          <w:sz w:val="44"/>
          <w:szCs w:val="44"/>
        </w:rPr>
      </w:pPr>
    </w:p>
    <w:p w:rsidR="00195524" w:rsidRDefault="00195524"/>
    <w:sectPr w:rsidR="00195524">
      <w:footerReference w:type="default" r:id="rId4"/>
      <w:pgSz w:w="11906" w:h="16838"/>
      <w:pgMar w:top="1701" w:right="1474" w:bottom="1531" w:left="1588" w:header="1134" w:footer="1531" w:gutter="0"/>
      <w:cols w:space="720"/>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F77A4">
    <w:pPr>
      <w:snapToGrid w:val="0"/>
      <w:ind w:right="360" w:firstLine="360"/>
      <w:jc w:val="left"/>
      <w:rPr>
        <w:rFonts w:ascii="Times New Roman" w:eastAsia="方正仿宋简体" w:hAnsi="Times New Roman"/>
        <w:sz w:val="18"/>
        <w:szCs w:val="18"/>
      </w:rPr>
    </w:pPr>
    <w:r>
      <w:rPr>
        <w:rFonts w:ascii="Times New Roman" w:eastAsia="方正仿宋简体" w:hAnsi="Times New Roman"/>
        <w:sz w:val="18"/>
        <w:szCs w:val="18"/>
      </w:rPr>
      <w:pict>
        <v:shapetype id="_x0000_t202" coordsize="21600,21600" o:spt="202" path="m,l,21600r21600,l21600,xe">
          <v:stroke joinstyle="miter"/>
          <v:path gradientshapeok="t" o:connecttype="rect"/>
        </v:shapetype>
        <v:shape id="文本框 1026" o:spid="_x0000_s1025" type="#_x0000_t202" style="position:absolute;left:0;text-align:left;margin-left:0;margin-top:0;width:2in;height:2in;z-index:251660288;mso-wrap-style:none;mso-position-horizontal:center;mso-position-horizontal-relative:margin" filled="f" stroked="f">
          <v:textbox style="mso-fit-shape-to-text:t" inset="0,0,0,0">
            <w:txbxContent>
              <w:p w:rsidR="00000000" w:rsidRDefault="009F77A4">
                <w:pPr>
                  <w:snapToGrid w:val="0"/>
                  <w:jc w:val="left"/>
                  <w:rPr>
                    <w:rFonts w:ascii="Times New Roman" w:eastAsia="方正仿宋简体" w:hAnsi="Times New Roman"/>
                    <w:sz w:val="18"/>
                    <w:szCs w:val="18"/>
                  </w:rPr>
                </w:pPr>
                <w:r>
                  <w:rPr>
                    <w:rFonts w:ascii="Times New Roman" w:eastAsia="方正仿宋简体" w:hAnsi="Times New Roman"/>
                    <w:sz w:val="24"/>
                    <w:szCs w:val="24"/>
                  </w:rPr>
                  <w:fldChar w:fldCharType="begin"/>
                </w:r>
                <w:r>
                  <w:rPr>
                    <w:rFonts w:ascii="Times New Roman" w:eastAsia="方正仿宋简体" w:hAnsi="Times New Roman"/>
                    <w:sz w:val="24"/>
                    <w:szCs w:val="24"/>
                  </w:rPr>
                  <w:instrText xml:space="preserve"> PAGE  \* MERGEFORMAT </w:instrText>
                </w:r>
                <w:r>
                  <w:rPr>
                    <w:rFonts w:ascii="Times New Roman" w:eastAsia="方正仿宋简体" w:hAnsi="Times New Roman"/>
                    <w:sz w:val="24"/>
                    <w:szCs w:val="24"/>
                  </w:rPr>
                  <w:fldChar w:fldCharType="separate"/>
                </w:r>
                <w:r w:rsidR="008E4FCC">
                  <w:rPr>
                    <w:rFonts w:ascii="Times New Roman" w:eastAsia="方正仿宋简体" w:hAnsi="Times New Roman"/>
                    <w:noProof/>
                    <w:sz w:val="24"/>
                    <w:szCs w:val="24"/>
                  </w:rPr>
                  <w:t>10</w:t>
                </w:r>
                <w:r>
                  <w:rPr>
                    <w:rFonts w:ascii="Times New Roman" w:eastAsia="方正仿宋简体" w:hAnsi="Times New Roman"/>
                    <w:sz w:val="24"/>
                    <w:szCs w:val="24"/>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8E4FCC"/>
    <w:rsid w:val="00195524"/>
    <w:rsid w:val="008E4FCC"/>
    <w:rsid w:val="009F77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E4FCC"/>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semiHidden/>
    <w:qFormat/>
    <w:rsid w:val="008E4FCC"/>
    <w:rPr>
      <w:rFonts w:ascii="仿宋_GB2312" w:eastAsia="仿宋_GB2312" w:hAnsi="仿宋_GB2312" w:cs="仿宋_GB2312"/>
      <w:sz w:val="31"/>
      <w:szCs w:val="31"/>
      <w:lang w:eastAsia="en-US"/>
    </w:rPr>
  </w:style>
  <w:style w:type="character" w:customStyle="1" w:styleId="Char">
    <w:name w:val="正文文本 Char"/>
    <w:basedOn w:val="a1"/>
    <w:link w:val="a0"/>
    <w:semiHidden/>
    <w:rsid w:val="008E4FCC"/>
    <w:rPr>
      <w:rFonts w:ascii="仿宋_GB2312" w:eastAsia="仿宋_GB2312" w:hAnsi="仿宋_GB2312" w:cs="仿宋_GB2312"/>
      <w:sz w:val="31"/>
      <w:szCs w:val="31"/>
      <w:lang w:eastAsia="en-US"/>
    </w:rPr>
  </w:style>
  <w:style w:type="paragraph" w:styleId="a4">
    <w:name w:val="Title"/>
    <w:basedOn w:val="a"/>
    <w:next w:val="a"/>
    <w:link w:val="Char0"/>
    <w:uiPriority w:val="10"/>
    <w:qFormat/>
    <w:rsid w:val="008E4FCC"/>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1"/>
    <w:link w:val="a4"/>
    <w:uiPriority w:val="10"/>
    <w:rsid w:val="008E4FCC"/>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2446</Words>
  <Characters>2692</Characters>
  <Application>Microsoft Office Word</Application>
  <DocSecurity>0</DocSecurity>
  <Lines>141</Lines>
  <Paragraphs>90</Paragraphs>
  <ScaleCrop>false</ScaleCrop>
  <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2024-04-30T06:38:00Z</dcterms:created>
  <dcterms:modified xsi:type="dcterms:W3CDTF">2024-04-30T06:38:00Z</dcterms:modified>
</cp:coreProperties>
</file>