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bidi w:val="0"/>
        <w:rPr>
          <w:rFonts w:hint="eastAsia"/>
          <w:lang w:val="en-US" w:eastAsia="zh-CN"/>
        </w:rPr>
      </w:pPr>
      <w:bookmarkStart w:id="0" w:name="_Toc8334"/>
    </w:p>
    <w:p>
      <w:pPr>
        <w:bidi w:val="0"/>
        <w:ind w:left="0" w:leftChars="0" w:firstLine="0" w:firstLineChars="0"/>
        <w:jc w:val="center"/>
        <w:rPr>
          <w:rFonts w:hint="eastAsia"/>
          <w:sz w:val="52"/>
          <w:szCs w:val="52"/>
          <w:lang w:val="en-US" w:eastAsia="zh-CN"/>
        </w:rPr>
      </w:pPr>
    </w:p>
    <w:bookmarkEnd w:id="0"/>
    <w:p>
      <w:pPr>
        <w:bidi w:val="0"/>
        <w:ind w:left="0" w:leftChars="0" w:firstLine="0" w:firstLineChars="0"/>
        <w:jc w:val="center"/>
        <w:rPr>
          <w:rFonts w:hint="eastAsia"/>
          <w:sz w:val="52"/>
          <w:szCs w:val="52"/>
          <w:lang w:val="en-US" w:eastAsia="zh-CN"/>
        </w:rPr>
      </w:pPr>
      <w:bookmarkStart w:id="1" w:name="_Toc15370"/>
      <w:bookmarkStart w:id="12" w:name="_GoBack"/>
      <w:bookmarkEnd w:id="12"/>
      <w:r>
        <w:rPr>
          <w:rFonts w:hint="eastAsia"/>
          <w:sz w:val="52"/>
          <w:szCs w:val="52"/>
          <w:lang w:val="en-US" w:eastAsia="zh-CN"/>
        </w:rPr>
        <w:t>成都农贷通平台</w:t>
      </w:r>
    </w:p>
    <w:p>
      <w:pPr>
        <w:bidi w:val="0"/>
        <w:ind w:left="0" w:leftChars="0" w:firstLine="0" w:firstLineChars="0"/>
        <w:jc w:val="center"/>
        <w:rPr>
          <w:rFonts w:hint="default"/>
          <w:sz w:val="52"/>
          <w:szCs w:val="52"/>
          <w:lang w:val="en-US" w:eastAsia="zh-CN"/>
        </w:rPr>
      </w:pPr>
      <w:r>
        <w:rPr>
          <w:rFonts w:hint="eastAsia"/>
          <w:sz w:val="52"/>
          <w:szCs w:val="52"/>
          <w:lang w:val="en-US" w:eastAsia="zh-CN"/>
        </w:rPr>
        <w:t>保费补贴用户申请</w:t>
      </w:r>
    </w:p>
    <w:p>
      <w:pPr>
        <w:bidi w:val="0"/>
        <w:ind w:left="0" w:leftChars="0" w:firstLine="0" w:firstLineChars="0"/>
        <w:jc w:val="center"/>
        <w:rPr>
          <w:rFonts w:hint="eastAsia"/>
          <w:sz w:val="52"/>
          <w:szCs w:val="52"/>
          <w:lang w:val="en-US" w:eastAsia="zh-CN"/>
        </w:rPr>
      </w:pPr>
      <w:r>
        <w:rPr>
          <w:rFonts w:hint="eastAsia"/>
          <w:sz w:val="52"/>
          <w:szCs w:val="52"/>
          <w:lang w:val="en-US" w:eastAsia="zh-CN"/>
        </w:rPr>
        <w:t>操作指南</w:t>
      </w:r>
      <w:bookmarkEnd w:id="1"/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ind w:left="0" w:leftChars="0" w:firstLine="0" w:firstLineChars="0"/>
        <w:jc w:val="center"/>
        <w:rPr>
          <w:rFonts w:hint="eastAsia"/>
          <w:sz w:val="36"/>
          <w:szCs w:val="36"/>
          <w:lang w:val="en-US" w:eastAsia="zh-CN"/>
        </w:rPr>
      </w:pPr>
      <w:r>
        <w:rPr>
          <w:rFonts w:hint="eastAsia"/>
          <w:sz w:val="36"/>
          <w:szCs w:val="36"/>
          <w:lang w:val="en-US" w:eastAsia="zh-CN"/>
        </w:rPr>
        <w:t>成都金控征信有限公司</w:t>
      </w:r>
    </w:p>
    <w:p>
      <w:pPr>
        <w:bidi w:val="0"/>
        <w:ind w:left="0" w:leftChars="0" w:firstLine="0" w:firstLineChars="0"/>
        <w:jc w:val="center"/>
        <w:rPr>
          <w:rFonts w:hint="eastAsia"/>
          <w:sz w:val="36"/>
          <w:szCs w:val="36"/>
          <w:lang w:val="en-US" w:eastAsia="zh-CN"/>
        </w:rPr>
      </w:pPr>
      <w:r>
        <w:rPr>
          <w:rFonts w:hint="eastAsia"/>
          <w:sz w:val="36"/>
          <w:szCs w:val="36"/>
          <w:lang w:val="en-US" w:eastAsia="zh-CN"/>
        </w:rPr>
        <w:t>2024年2月</w:t>
      </w:r>
    </w:p>
    <w:p>
      <w:pPr>
        <w:bidi w:val="0"/>
        <w:ind w:left="0" w:leftChars="0" w:firstLine="0" w:firstLineChars="0"/>
        <w:jc w:val="both"/>
        <w:rPr>
          <w:rFonts w:hint="eastAsia"/>
          <w:sz w:val="36"/>
          <w:szCs w:val="36"/>
          <w:lang w:val="en-US" w:eastAsia="zh-CN"/>
        </w:rPr>
      </w:pPr>
    </w:p>
    <w:p>
      <w:pPr>
        <w:bidi w:val="0"/>
        <w:ind w:left="0" w:leftChars="0" w:firstLine="0" w:firstLineChars="0"/>
        <w:rPr>
          <w:rFonts w:hint="default"/>
          <w:lang w:val="en-US" w:eastAsia="zh-CN"/>
        </w:rPr>
      </w:pPr>
    </w:p>
    <w:p>
      <w:pPr>
        <w:bidi w:val="0"/>
        <w:rPr>
          <w:rFonts w:hint="default"/>
          <w:lang w:val="en-US" w:eastAsia="zh-CN"/>
        </w:rPr>
      </w:pPr>
    </w:p>
    <w:sdt>
      <w:sdt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  <w:id w:val="147481691"/>
        <w15:color w:val="DBDBDB"/>
        <w:docPartObj>
          <w:docPartGallery w:val="Table of Contents"/>
          <w:docPartUnique/>
        </w:docPartObj>
      </w:sdtPr>
      <w:sdtEndPr>
        <w:rPr>
          <w:rFonts w:hint="default" w:asciiTheme="minorAscii" w:hAnsiTheme="minorAscii" w:eastAsiaTheme="minorEastAsia" w:cstheme="minorBidi"/>
          <w:kern w:val="2"/>
          <w:sz w:val="24"/>
          <w:szCs w:val="24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15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TOC \o "1-3" \h \u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_Toc19678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1. </w:t>
          </w:r>
          <w:r>
            <w:rPr>
              <w:rFonts w:hint="eastAsia"/>
              <w:lang w:val="en-US" w:eastAsia="zh-CN"/>
            </w:rPr>
            <w:t>用户登录</w:t>
          </w:r>
          <w:r>
            <w:tab/>
          </w:r>
          <w:r>
            <w:fldChar w:fldCharType="begin"/>
          </w:r>
          <w:r>
            <w:instrText xml:space="preserve"> PAGEREF _Toc19678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_Toc13571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 w:ascii="宋体" w:hAnsi="宋体" w:eastAsia="宋体" w:cs="宋体"/>
              <w:lang w:val="en-US" w:eastAsia="zh-CN"/>
            </w:rPr>
            <w:t xml:space="preserve">1.1. </w:t>
          </w:r>
          <w:r>
            <w:rPr>
              <w:rFonts w:hint="eastAsia"/>
              <w:lang w:val="en-US" w:eastAsia="zh-CN"/>
            </w:rPr>
            <w:t>进入系统</w:t>
          </w:r>
          <w:r>
            <w:tab/>
          </w:r>
          <w:r>
            <w:fldChar w:fldCharType="begin"/>
          </w:r>
          <w:r>
            <w:instrText xml:space="preserve"> PAGEREF _Toc13571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_Toc2724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 w:ascii="宋体" w:hAnsi="宋体" w:eastAsia="宋体" w:cs="宋体"/>
              <w:lang w:val="en-US" w:eastAsia="zh-CN"/>
            </w:rPr>
            <w:t xml:space="preserve">1.2. </w:t>
          </w:r>
          <w:r>
            <w:rPr>
              <w:rFonts w:hint="eastAsia"/>
              <w:lang w:val="en-US" w:eastAsia="zh-CN"/>
            </w:rPr>
            <w:t>用户登录</w:t>
          </w:r>
          <w:r>
            <w:tab/>
          </w:r>
          <w:r>
            <w:fldChar w:fldCharType="begin"/>
          </w:r>
          <w:r>
            <w:instrText xml:space="preserve"> PAGEREF _Toc2724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15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_Toc21443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2. </w:t>
          </w:r>
          <w:r>
            <w:rPr>
              <w:rFonts w:hint="eastAsia"/>
              <w:lang w:val="en-US" w:eastAsia="zh-CN"/>
            </w:rPr>
            <w:t>保费补贴申请</w:t>
          </w:r>
          <w:r>
            <w:tab/>
          </w:r>
          <w:r>
            <w:fldChar w:fldCharType="begin"/>
          </w:r>
          <w:r>
            <w:instrText xml:space="preserve"> PAGEREF _Toc21443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16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_Toc32208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 w:ascii="宋体" w:hAnsi="宋体" w:eastAsia="宋体" w:cs="宋体"/>
              <w:lang w:val="en-US" w:eastAsia="zh-CN"/>
            </w:rPr>
            <w:t xml:space="preserve">2.1. </w:t>
          </w:r>
          <w:r>
            <w:rPr>
              <w:rFonts w:hint="eastAsia"/>
              <w:lang w:val="en-US" w:eastAsia="zh-CN"/>
            </w:rPr>
            <w:t>提交申请</w:t>
          </w:r>
          <w:r>
            <w:tab/>
          </w:r>
          <w:r>
            <w:fldChar w:fldCharType="begin"/>
          </w:r>
          <w:r>
            <w:instrText xml:space="preserve"> PAGEREF _Toc32208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_Toc1309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 w:ascii="宋体" w:hAnsi="宋体" w:eastAsia="宋体" w:cs="宋体"/>
              <w:lang w:val="en-US" w:eastAsia="zh-CN"/>
            </w:rPr>
            <w:t xml:space="preserve">2.1.1. </w:t>
          </w:r>
          <w:r>
            <w:rPr>
              <w:rFonts w:hint="eastAsia"/>
              <w:lang w:val="en-US" w:eastAsia="zh-CN"/>
            </w:rPr>
            <w:t>申请记录</w:t>
          </w:r>
          <w:r>
            <w:tab/>
          </w:r>
          <w:r>
            <w:fldChar w:fldCharType="begin"/>
          </w:r>
          <w:r>
            <w:instrText xml:space="preserve"> PAGEREF _Toc1309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_Toc24011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 w:ascii="宋体" w:hAnsi="宋体" w:eastAsia="宋体" w:cs="宋体"/>
              <w:lang w:val="en-US" w:eastAsia="zh-CN"/>
            </w:rPr>
            <w:t xml:space="preserve">2.1.2. </w:t>
          </w:r>
          <w:r>
            <w:rPr>
              <w:rFonts w:hint="eastAsia"/>
              <w:lang w:val="en-US" w:eastAsia="zh-CN"/>
            </w:rPr>
            <w:t>重复申请</w:t>
          </w:r>
          <w:r>
            <w:tab/>
          </w:r>
          <w:r>
            <w:fldChar w:fldCharType="begin"/>
          </w:r>
          <w:r>
            <w:instrText xml:space="preserve"> PAGEREF _Toc24011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_Toc19245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 w:ascii="宋体" w:hAnsi="宋体" w:eastAsia="宋体" w:cs="宋体"/>
              <w:lang w:val="en-US" w:eastAsia="zh-CN"/>
            </w:rPr>
            <w:t xml:space="preserve">2.1.3. </w:t>
          </w:r>
          <w:r>
            <w:rPr>
              <w:rFonts w:hint="eastAsia"/>
              <w:lang w:val="en-US" w:eastAsia="zh-CN"/>
            </w:rPr>
            <w:t>拒绝</w:t>
          </w:r>
          <w:r>
            <w:tab/>
          </w:r>
          <w:r>
            <w:fldChar w:fldCharType="begin"/>
          </w:r>
          <w:r>
            <w:instrText xml:space="preserve"> PAGEREF _Toc19245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rPr>
              <w:rFonts w:hint="default"/>
              <w:lang w:val="en-US" w:eastAsia="zh-CN"/>
            </w:rPr>
            <w:fldChar w:fldCharType="begin"/>
          </w:r>
          <w:r>
            <w:rPr>
              <w:rFonts w:hint="default"/>
              <w:lang w:val="en-US" w:eastAsia="zh-CN"/>
            </w:rPr>
            <w:instrText xml:space="preserve"> HYPERLINK \l _Toc4919 </w:instrText>
          </w:r>
          <w:r>
            <w:rPr>
              <w:rFonts w:hint="default"/>
              <w:lang w:val="en-US" w:eastAsia="zh-CN"/>
            </w:rPr>
            <w:fldChar w:fldCharType="separate"/>
          </w:r>
          <w:r>
            <w:rPr>
              <w:rFonts w:hint="default" w:ascii="宋体" w:hAnsi="宋体" w:eastAsia="宋体" w:cs="宋体"/>
              <w:lang w:val="en-US" w:eastAsia="zh-CN"/>
            </w:rPr>
            <w:t xml:space="preserve">2.1.4. </w:t>
          </w:r>
          <w:r>
            <w:rPr>
              <w:rFonts w:hint="eastAsia"/>
              <w:lang w:val="en-US" w:eastAsia="zh-CN"/>
            </w:rPr>
            <w:t>修改重提</w:t>
          </w:r>
          <w:r>
            <w:tab/>
          </w:r>
          <w:r>
            <w:fldChar w:fldCharType="begin"/>
          </w:r>
          <w:r>
            <w:instrText xml:space="preserve"> PAGEREF _Toc4919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default"/>
              <w:lang w:val="en-US" w:eastAsia="zh-CN"/>
            </w:rPr>
            <w:fldChar w:fldCharType="end"/>
          </w:r>
        </w:p>
        <w:p>
          <w:pPr>
            <w:bidi w:val="0"/>
            <w:rPr>
              <w:rFonts w:hint="default"/>
              <w:lang w:val="en-US" w:eastAsia="zh-CN"/>
            </w:rPr>
          </w:pPr>
          <w:r>
            <w:rPr>
              <w:rFonts w:hint="default"/>
              <w:lang w:val="en-US" w:eastAsia="zh-CN"/>
            </w:rPr>
            <w:fldChar w:fldCharType="end"/>
          </w:r>
        </w:p>
      </w:sdtContent>
    </w:sdt>
    <w:p>
      <w:pPr>
        <w:bidi w:val="0"/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rPr>
          <w:rFonts w:hint="default"/>
          <w:lang w:val="en-US" w:eastAsia="zh-CN"/>
        </w:rPr>
      </w:pPr>
    </w:p>
    <w:p>
      <w:pPr>
        <w:pStyle w:val="2"/>
        <w:bidi w:val="0"/>
        <w:rPr>
          <w:rFonts w:hint="default"/>
          <w:lang w:val="en-US" w:eastAsia="zh-CN"/>
        </w:rPr>
      </w:pPr>
      <w:bookmarkStart w:id="2" w:name="_Toc19678"/>
      <w:r>
        <w:rPr>
          <w:rFonts w:hint="eastAsia"/>
          <w:lang w:val="en-US" w:eastAsia="zh-CN"/>
        </w:rPr>
        <w:t>用户登录</w:t>
      </w:r>
      <w:bookmarkEnd w:id="2"/>
    </w:p>
    <w:p>
      <w:pPr>
        <w:pStyle w:val="3"/>
        <w:bidi w:val="0"/>
        <w:rPr>
          <w:rFonts w:hint="default"/>
          <w:lang w:val="en-US" w:eastAsia="zh-CN"/>
        </w:rPr>
      </w:pPr>
      <w:bookmarkStart w:id="3" w:name="_Toc13571"/>
      <w:r>
        <w:rPr>
          <w:rFonts w:hint="eastAsia"/>
          <w:lang w:val="en-US" w:eastAsia="zh-CN"/>
        </w:rPr>
        <w:t>进入系统</w:t>
      </w:r>
      <w:bookmarkEnd w:id="3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用户可通过地址https://www.ncjrbx.cn对系统进行访问，进入页面后可查看系统各个业务，进行业务办理操作则需要用户进行登录，页面会跳转至登录页面。</w:t>
      </w:r>
    </w:p>
    <w:p>
      <w:pPr>
        <w:bidi w:val="0"/>
        <w:ind w:left="0" w:leftChars="0" w:firstLine="0" w:firstLineChars="0"/>
      </w:pPr>
      <w:r>
        <w:drawing>
          <wp:inline distT="0" distB="0" distL="114300" distR="114300">
            <wp:extent cx="5273040" cy="2491740"/>
            <wp:effectExtent l="0" t="0" r="0" b="7620"/>
            <wp:docPr id="4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9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default"/>
          <w:lang w:val="en-US" w:eastAsia="zh-CN"/>
        </w:rPr>
      </w:pPr>
      <w:bookmarkStart w:id="4" w:name="_Toc16247"/>
      <w:bookmarkStart w:id="5" w:name="_Toc2724"/>
      <w:r>
        <w:rPr>
          <w:rFonts w:hint="eastAsia"/>
          <w:lang w:val="en-US" w:eastAsia="zh-CN"/>
        </w:rPr>
        <w:t>用户登录</w:t>
      </w:r>
      <w:bookmarkEnd w:id="4"/>
      <w:bookmarkEnd w:id="5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用户可通过多种方式进行登录操作，主要方式如下：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1.账户+密码：用户可通过输入账号、密码的形式完成登录；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273040" cy="2467610"/>
            <wp:effectExtent l="0" t="0" r="0" b="1270"/>
            <wp:docPr id="4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6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48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2.扫码登录：用户可通过微信扫码的形式完成登录操作；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260340" cy="2458085"/>
            <wp:effectExtent l="0" t="0" r="12700" b="10795"/>
            <wp:docPr id="4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45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48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3.手机号+验证码登录：用户输入手机号，获取验证码完成登录操作；</w:t>
      </w:r>
    </w:p>
    <w:p>
      <w:pPr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4150" cy="2425065"/>
            <wp:effectExtent l="0" t="0" r="8890" b="13335"/>
            <wp:docPr id="4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2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  <w:rPr>
          <w:rFonts w:hint="default"/>
          <w:lang w:val="en-US" w:eastAsia="zh-CN"/>
        </w:rPr>
      </w:pPr>
      <w:bookmarkStart w:id="6" w:name="_Toc21443"/>
      <w:r>
        <w:rPr>
          <w:rFonts w:hint="eastAsia"/>
          <w:lang w:val="en-US" w:eastAsia="zh-CN"/>
        </w:rPr>
        <w:t>保费补贴申请</w:t>
      </w:r>
      <w:bookmarkEnd w:id="6"/>
    </w:p>
    <w:p>
      <w:pPr>
        <w:pStyle w:val="3"/>
        <w:bidi w:val="0"/>
        <w:rPr>
          <w:rFonts w:hint="default"/>
          <w:lang w:val="en-US" w:eastAsia="zh-CN"/>
        </w:rPr>
      </w:pPr>
      <w:bookmarkStart w:id="7" w:name="_Toc32208"/>
      <w:r>
        <w:rPr>
          <w:rFonts w:hint="eastAsia"/>
          <w:lang w:val="en-US" w:eastAsia="zh-CN"/>
        </w:rPr>
        <w:t>提交申请</w:t>
      </w:r>
      <w:bookmarkEnd w:id="7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用户可在保费补贴产品列表页面选择保费补贴产品进行查看，并进入申请页面，填写申请信息，完成申请。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页面会返现用户的个人信息，用户选择申报的主题类型，页面根据用户选择展示不同的信息填写项、资料上传项。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（1）保费补贴产品列表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273040" cy="2480945"/>
            <wp:effectExtent l="0" t="0" r="0" b="3175"/>
            <wp:docPr id="4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8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详情介绍</w:t>
      </w:r>
    </w:p>
    <w:p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用户选择在申请时间段的产品进入详情查看页面，可查看产品详情介绍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270500" cy="6861175"/>
            <wp:effectExtent l="0" t="0" r="2540" b="12065"/>
            <wp:docPr id="4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86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</w:pPr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在线申请</w:t>
      </w:r>
    </w:p>
    <w:p>
      <w:pPr>
        <w:ind w:left="0" w:leftChars="0" w:firstLine="48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可在详情页面下端在线申请信息填写申请信息进行申报。用户根据自己的申报类型可选择个人、企业/家庭农场、集体经济组织/专业合作社（集体投保）、专业合作社（个体投保）四种不同的主题类型，选择不同的主题类型所需填写的承保信息、资料略有不同。</w:t>
      </w:r>
    </w:p>
    <w:p>
      <w:pPr>
        <w:ind w:left="0" w:leftChars="0" w:firstLine="48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同一身份证号已有申请后不能再次进行申请，只有在原提交的申请信息被拒绝后才能进行重新申请提交。</w:t>
      </w:r>
    </w:p>
    <w:p>
      <w:pPr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2880" cy="4706620"/>
            <wp:effectExtent l="0" t="0" r="10160" b="25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470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default"/>
          <w:lang w:val="en-US" w:eastAsia="zh-CN"/>
        </w:rPr>
      </w:pPr>
      <w:bookmarkStart w:id="8" w:name="_Toc1309"/>
      <w:r>
        <w:rPr>
          <w:rFonts w:hint="eastAsia"/>
          <w:lang w:val="en-US" w:eastAsia="zh-CN"/>
        </w:rPr>
        <w:t>申请记录</w:t>
      </w:r>
      <w:bookmarkEnd w:id="8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用户提交申请后，可在个人中心查看保费补贴申请信息，可查看申请的处理进度。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264150" cy="2518410"/>
            <wp:effectExtent l="0" t="0" r="8890" b="1143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1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</w:pPr>
      <w:r>
        <w:drawing>
          <wp:inline distT="0" distB="0" distL="114300" distR="114300">
            <wp:extent cx="5262880" cy="5056505"/>
            <wp:effectExtent l="0" t="0" r="10160" b="317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505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default"/>
          <w:lang w:val="en-US" w:eastAsia="zh-CN"/>
        </w:rPr>
      </w:pPr>
      <w:bookmarkStart w:id="9" w:name="_Toc24011"/>
      <w:r>
        <w:rPr>
          <w:rFonts w:hint="eastAsia"/>
          <w:lang w:val="en-US" w:eastAsia="zh-CN"/>
        </w:rPr>
        <w:t>重复申请</w:t>
      </w:r>
      <w:bookmarkEnd w:id="9"/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用户已有申请重复进行提交时页面会提示用户，用户无法再次提交申请。</w:t>
      </w:r>
    </w:p>
    <w:p>
      <w:pPr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63515" cy="1618615"/>
            <wp:effectExtent l="0" t="0" r="9525" b="12065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61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default"/>
          <w:lang w:val="en-US" w:eastAsia="zh-CN"/>
        </w:rPr>
      </w:pPr>
      <w:bookmarkStart w:id="10" w:name="_Toc19245"/>
      <w:r>
        <w:rPr>
          <w:rFonts w:hint="eastAsia"/>
          <w:lang w:val="en-US" w:eastAsia="zh-CN"/>
        </w:rPr>
        <w:t>拒绝</w:t>
      </w:r>
      <w:bookmarkEnd w:id="10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用户提交的申请信息被拒绝后，可重新发起申请操作。</w:t>
      </w:r>
    </w:p>
    <w:p>
      <w:pPr>
        <w:ind w:left="0" w:leftChars="0" w:firstLine="0" w:firstLineChars="0"/>
        <w:rPr>
          <w:rFonts w:hint="default"/>
          <w:lang w:val="en-US" w:eastAsia="zh-CN"/>
        </w:rPr>
      </w:pPr>
      <w:r>
        <w:drawing>
          <wp:inline distT="0" distB="0" distL="114300" distR="114300">
            <wp:extent cx="5271770" cy="2425065"/>
            <wp:effectExtent l="0" t="0" r="1270" b="13335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2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default"/>
          <w:lang w:val="en-US" w:eastAsia="zh-CN"/>
        </w:rPr>
      </w:pPr>
      <w:bookmarkStart w:id="11" w:name="_Toc4919"/>
      <w:r>
        <w:rPr>
          <w:rFonts w:hint="eastAsia"/>
          <w:lang w:val="en-US" w:eastAsia="zh-CN"/>
        </w:rPr>
        <w:t>修改重提</w:t>
      </w:r>
      <w:bookmarkEnd w:id="11"/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用户提交申请信息后，会有多个机构进行审核，审核中发现问题被驳回后，用户可在个人中心进行修改，并重新提交。</w:t>
      </w:r>
    </w:p>
    <w:p>
      <w:pPr>
        <w:ind w:left="0" w:leftChars="0" w:firstLine="0" w:firstLineChars="0"/>
      </w:pPr>
      <w:r>
        <w:drawing>
          <wp:inline distT="0" distB="0" distL="114300" distR="114300">
            <wp:extent cx="5269230" cy="2534920"/>
            <wp:effectExtent l="0" t="0" r="3810" b="1016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3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5478780"/>
            <wp:effectExtent l="0" t="0" r="3810" b="762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47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5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</w:pPr>
    <w:r>
      <w:drawing>
        <wp:inline distT="0" distB="0" distL="114300" distR="114300">
          <wp:extent cx="1096645" cy="309880"/>
          <wp:effectExtent l="0" t="0" r="0" b="8255"/>
          <wp:docPr id="7" name="图片 1" descr="C:/Users/Raven/Desktop/4 农贷通及公司logo/农贷通logo.png农贷通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1" descr="C:/Users/Raven/Desktop/4 农贷通及公司logo/农贷通logo.png农贷通logo"/>
                  <pic:cNvPicPr>
                    <a:picLocks noChangeAspect="1"/>
                  </pic:cNvPicPr>
                </pic:nvPicPr>
                <pic:blipFill>
                  <a:blip r:embed="rId1"/>
                  <a:srcRect t="23625" b="23625"/>
                  <a:stretch>
                    <a:fillRect/>
                  </a:stretch>
                </pic:blipFill>
                <pic:spPr>
                  <a:xfrm>
                    <a:off x="0" y="0"/>
                    <a:ext cx="1096645" cy="309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6CFE7C33"/>
    <w:multiLevelType w:val="multilevel"/>
    <w:tmpl w:val="6CFE7C33"/>
    <w:lvl w:ilvl="0" w:tentative="0">
      <w:start w:val="1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3"/>
      <w:lvlText w:val="%1.%2."/>
      <w:lvlJc w:val="left"/>
      <w:pPr>
        <w:ind w:left="575" w:hanging="575"/>
      </w:pPr>
      <w:rPr>
        <w:rFonts w:hint="default" w:ascii="宋体" w:hAnsi="宋体" w:eastAsia="宋体" w:cs="宋体"/>
      </w:rPr>
    </w:lvl>
    <w:lvl w:ilvl="2" w:tentative="0">
      <w:start w:val="1"/>
      <w:numFmt w:val="decimal"/>
      <w:pStyle w:val="4"/>
      <w:lvlText w:val="%1.%2.%3."/>
      <w:lvlJc w:val="left"/>
      <w:pPr>
        <w:ind w:left="720" w:hanging="720"/>
      </w:pPr>
      <w:rPr>
        <w:rFonts w:hint="default" w:ascii="宋体" w:hAnsi="宋体" w:eastAsia="宋体" w:cs="宋体"/>
      </w:rPr>
    </w:lvl>
    <w:lvl w:ilvl="3" w:tentative="0">
      <w:start w:val="1"/>
      <w:numFmt w:val="decimal"/>
      <w:pStyle w:val="5"/>
      <w:lvlText w:val="%1.%2.%3.%4."/>
      <w:lvlJc w:val="left"/>
      <w:pPr>
        <w:ind w:left="864" w:hanging="864"/>
      </w:pPr>
      <w:rPr>
        <w:rFonts w:hint="default" w:ascii="宋体" w:hAnsi="宋体" w:eastAsia="宋体" w:cs="宋体"/>
      </w:rPr>
    </w:lvl>
    <w:lvl w:ilvl="4" w:tentative="0">
      <w:start w:val="1"/>
      <w:numFmt w:val="decimal"/>
      <w:pStyle w:val="6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pStyle w:val="7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pStyle w:val="8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pStyle w:val="9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pStyle w:val="10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WJkM2IxYzJiZDk3YjFlOWFlNzJhMGI5Y2JiNzk1OTIifQ=="/>
  </w:docVars>
  <w:rsids>
    <w:rsidRoot w:val="582A1B72"/>
    <w:rsid w:val="08DC0502"/>
    <w:rsid w:val="0CAC2B38"/>
    <w:rsid w:val="13A67979"/>
    <w:rsid w:val="1D190753"/>
    <w:rsid w:val="26761D5F"/>
    <w:rsid w:val="3438132F"/>
    <w:rsid w:val="49377541"/>
    <w:rsid w:val="4B3D0E54"/>
    <w:rsid w:val="582A1B72"/>
    <w:rsid w:val="6DDF7A7E"/>
    <w:rsid w:val="75110A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adjustRightInd w:val="0"/>
      <w:spacing w:line="360" w:lineRule="auto"/>
      <w:ind w:firstLine="1040" w:firstLineChars="200"/>
      <w:jc w:val="both"/>
    </w:pPr>
    <w:rPr>
      <w:rFonts w:asciiTheme="minorAscii" w:hAnsiTheme="minorAscii" w:eastAsiaTheme="minorEastAsia" w:cstheme="minorBidi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0"/>
    <w:pPr>
      <w:keepNext/>
      <w:keepLines/>
      <w:numPr>
        <w:ilvl w:val="0"/>
        <w:numId w:val="1"/>
      </w:numPr>
      <w:spacing w:before="340" w:beforeLines="0" w:beforeAutospacing="0" w:after="330" w:afterLines="0" w:afterAutospacing="0" w:line="576" w:lineRule="auto"/>
      <w:ind w:left="0" w:firstLine="0" w:firstLineChars="0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link w:val="19"/>
    <w:autoRedefine/>
    <w:unhideWhenUsed/>
    <w:qFormat/>
    <w:uiPriority w:val="0"/>
    <w:pPr>
      <w:keepNext/>
      <w:keepLines/>
      <w:numPr>
        <w:ilvl w:val="1"/>
        <w:numId w:val="1"/>
      </w:numPr>
      <w:spacing w:before="260" w:beforeLines="0" w:beforeAutospacing="0" w:after="260" w:afterLines="0" w:afterAutospacing="0" w:line="413" w:lineRule="auto"/>
      <w:ind w:left="575" w:hanging="575" w:firstLineChars="0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autoRedefine/>
    <w:unhideWhenUsed/>
    <w:qFormat/>
    <w:uiPriority w:val="0"/>
    <w:pPr>
      <w:keepNext/>
      <w:keepLines/>
      <w:numPr>
        <w:ilvl w:val="2"/>
        <w:numId w:val="1"/>
      </w:numPr>
      <w:spacing w:before="260" w:beforeLines="0" w:beforeAutospacing="0" w:after="260" w:afterLines="0" w:afterAutospacing="0" w:line="413" w:lineRule="auto"/>
      <w:ind w:left="720" w:hanging="720" w:firstLineChars="0"/>
      <w:outlineLvl w:val="2"/>
    </w:pPr>
    <w:rPr>
      <w:b/>
      <w:sz w:val="32"/>
    </w:rPr>
  </w:style>
  <w:style w:type="paragraph" w:styleId="5">
    <w:name w:val="heading 4"/>
    <w:basedOn w:val="1"/>
    <w:next w:val="1"/>
    <w:autoRedefine/>
    <w:semiHidden/>
    <w:unhideWhenUsed/>
    <w:qFormat/>
    <w:uiPriority w:val="0"/>
    <w:pPr>
      <w:keepNext/>
      <w:keepLines/>
      <w:numPr>
        <w:ilvl w:val="3"/>
        <w:numId w:val="1"/>
      </w:numPr>
      <w:spacing w:before="280" w:beforeLines="0" w:beforeAutospacing="0" w:after="290" w:afterLines="0" w:afterAutospacing="0" w:line="372" w:lineRule="auto"/>
      <w:ind w:left="864" w:hanging="864" w:firstLineChars="0"/>
      <w:outlineLvl w:val="3"/>
    </w:pPr>
    <w:rPr>
      <w:rFonts w:ascii="Arial" w:hAnsi="Arial" w:eastAsia="黑体"/>
      <w:b/>
      <w:sz w:val="28"/>
    </w:rPr>
  </w:style>
  <w:style w:type="paragraph" w:styleId="6">
    <w:name w:val="heading 5"/>
    <w:basedOn w:val="1"/>
    <w:next w:val="1"/>
    <w:autoRedefine/>
    <w:semiHidden/>
    <w:unhideWhenUsed/>
    <w:qFormat/>
    <w:uiPriority w:val="0"/>
    <w:pPr>
      <w:keepNext/>
      <w:keepLines/>
      <w:numPr>
        <w:ilvl w:val="4"/>
        <w:numId w:val="1"/>
      </w:numPr>
      <w:spacing w:before="280" w:beforeLines="0" w:beforeAutospacing="0" w:after="290" w:afterLines="0" w:afterAutospacing="0" w:line="372" w:lineRule="auto"/>
      <w:ind w:left="1008" w:hanging="1008" w:firstLineChars="0"/>
      <w:outlineLvl w:val="4"/>
    </w:pPr>
    <w:rPr>
      <w:b/>
      <w:sz w:val="28"/>
    </w:rPr>
  </w:style>
  <w:style w:type="paragraph" w:styleId="7">
    <w:name w:val="heading 6"/>
    <w:basedOn w:val="1"/>
    <w:next w:val="1"/>
    <w:autoRedefine/>
    <w:semiHidden/>
    <w:unhideWhenUsed/>
    <w:qFormat/>
    <w:uiPriority w:val="0"/>
    <w:pPr>
      <w:keepNext/>
      <w:keepLines/>
      <w:numPr>
        <w:ilvl w:val="5"/>
        <w:numId w:val="1"/>
      </w:numPr>
      <w:spacing w:before="240" w:beforeLines="0" w:beforeAutospacing="0" w:after="64" w:afterLines="0" w:afterAutospacing="0" w:line="317" w:lineRule="auto"/>
      <w:ind w:left="1151" w:hanging="1151" w:firstLineChars="0"/>
      <w:outlineLvl w:val="5"/>
    </w:pPr>
    <w:rPr>
      <w:rFonts w:ascii="Arial" w:hAnsi="Arial" w:eastAsia="黑体"/>
      <w:b/>
      <w:sz w:val="24"/>
    </w:rPr>
  </w:style>
  <w:style w:type="paragraph" w:styleId="8">
    <w:name w:val="heading 7"/>
    <w:basedOn w:val="1"/>
    <w:next w:val="1"/>
    <w:autoRedefine/>
    <w:semiHidden/>
    <w:unhideWhenUsed/>
    <w:qFormat/>
    <w:uiPriority w:val="0"/>
    <w:pPr>
      <w:keepNext/>
      <w:keepLines/>
      <w:numPr>
        <w:ilvl w:val="6"/>
        <w:numId w:val="1"/>
      </w:numPr>
      <w:spacing w:before="240" w:beforeLines="0" w:beforeAutospacing="0" w:after="64" w:afterLines="0" w:afterAutospacing="0" w:line="317" w:lineRule="auto"/>
      <w:ind w:left="1296" w:hanging="1296" w:firstLineChars="0"/>
      <w:outlineLvl w:val="6"/>
    </w:pPr>
    <w:rPr>
      <w:b/>
      <w:sz w:val="24"/>
    </w:rPr>
  </w:style>
  <w:style w:type="paragraph" w:styleId="9">
    <w:name w:val="heading 8"/>
    <w:basedOn w:val="1"/>
    <w:next w:val="1"/>
    <w:autoRedefine/>
    <w:semiHidden/>
    <w:unhideWhenUsed/>
    <w:qFormat/>
    <w:uiPriority w:val="0"/>
    <w:pPr>
      <w:keepNext/>
      <w:keepLines/>
      <w:numPr>
        <w:ilvl w:val="7"/>
        <w:numId w:val="1"/>
      </w:numPr>
      <w:spacing w:before="240" w:beforeLines="0" w:beforeAutospacing="0" w:after="64" w:afterLines="0" w:afterAutospacing="0" w:line="317" w:lineRule="auto"/>
      <w:ind w:left="1440" w:hanging="1440" w:firstLineChars="0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autoRedefine/>
    <w:semiHidden/>
    <w:unhideWhenUsed/>
    <w:qFormat/>
    <w:uiPriority w:val="0"/>
    <w:pPr>
      <w:keepNext/>
      <w:keepLines/>
      <w:numPr>
        <w:ilvl w:val="8"/>
        <w:numId w:val="1"/>
      </w:numPr>
      <w:spacing w:before="240" w:beforeLines="0" w:beforeAutospacing="0" w:after="64" w:afterLines="0" w:afterAutospacing="0" w:line="317" w:lineRule="auto"/>
      <w:ind w:left="1583" w:hanging="1583" w:firstLineChars="0"/>
      <w:outlineLvl w:val="8"/>
    </w:pPr>
    <w:rPr>
      <w:rFonts w:ascii="Arial" w:hAnsi="Arial" w:eastAsia="黑体"/>
      <w:sz w:val="21"/>
    </w:rPr>
  </w:style>
  <w:style w:type="character" w:default="1" w:styleId="18">
    <w:name w:val="Default Paragraph Font"/>
    <w:autoRedefine/>
    <w:semiHidden/>
    <w:qFormat/>
    <w:uiPriority w:val="0"/>
  </w:style>
  <w:style w:type="table" w:default="1" w:styleId="17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annotation text"/>
    <w:basedOn w:val="1"/>
    <w:autoRedefine/>
    <w:qFormat/>
    <w:uiPriority w:val="0"/>
    <w:pPr>
      <w:jc w:val="left"/>
    </w:pPr>
  </w:style>
  <w:style w:type="paragraph" w:styleId="12">
    <w:name w:val="toc 3"/>
    <w:basedOn w:val="1"/>
    <w:next w:val="1"/>
    <w:autoRedefine/>
    <w:qFormat/>
    <w:uiPriority w:val="0"/>
    <w:pPr>
      <w:ind w:left="840" w:leftChars="400"/>
    </w:pPr>
  </w:style>
  <w:style w:type="paragraph" w:styleId="1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4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5">
    <w:name w:val="toc 1"/>
    <w:basedOn w:val="1"/>
    <w:next w:val="1"/>
    <w:autoRedefine/>
    <w:qFormat/>
    <w:uiPriority w:val="0"/>
  </w:style>
  <w:style w:type="paragraph" w:styleId="16">
    <w:name w:val="toc 2"/>
    <w:basedOn w:val="1"/>
    <w:next w:val="1"/>
    <w:autoRedefine/>
    <w:qFormat/>
    <w:uiPriority w:val="0"/>
    <w:pPr>
      <w:ind w:left="420" w:leftChars="200"/>
    </w:pPr>
  </w:style>
  <w:style w:type="character" w:customStyle="1" w:styleId="19">
    <w:name w:val="标题 2 Char"/>
    <w:link w:val="3"/>
    <w:autoRedefine/>
    <w:qFormat/>
    <w:uiPriority w:val="0"/>
    <w:rPr>
      <w:rFonts w:ascii="Arial" w:hAnsi="Arial" w:eastAsia="黑体"/>
      <w:b/>
      <w:sz w:val="32"/>
    </w:rPr>
  </w:style>
  <w:style w:type="paragraph" w:customStyle="1" w:styleId="20">
    <w:name w:val="WPSOffice手动目录 1"/>
    <w:autoRedefine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21">
    <w:name w:val="WPSOffice手动目录 2"/>
    <w:autoRedefine/>
    <w:qFormat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22">
    <w:name w:val="WPSOffice手动目录 3"/>
    <w:autoRedefine/>
    <w:qFormat/>
    <w:uiPriority w:val="0"/>
    <w:pPr>
      <w:ind w:leftChars="40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21</Pages>
  <Words>1883</Words>
  <Characters>1949</Characters>
  <Lines>0</Lines>
  <Paragraphs>0</Paragraphs>
  <TotalTime>1</TotalTime>
  <ScaleCrop>false</ScaleCrop>
  <LinksUpToDate>false</LinksUpToDate>
  <CharactersWithSpaces>1949</CharactersWithSpaces>
  <Application>WPS Office_12.1.0.16250_F1E327BC-269C-435d-A152-05C5408002CA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2022-11-03T09:54:00Z</dcterms:created>
  <dc:creator>雨天里的肥猫</dc:creator>
  <cp:lastModifiedBy>忧郁的香菇酱</cp:lastModifiedBy>
  <dcterms:modified xsi:type="dcterms:W3CDTF">2024-02-27T03:18:27Z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2052-12.1.0.16250</vt:lpwstr>
  </property>
  <property fmtid="{D5CDD505-2E9C-101B-9397-08002B2CF9AE}" pid="3" name="ICV">
    <vt:lpwstr>B88ED4B357BC4FF2961A2E51FE2FDC3F</vt:lpwstr>
  </property>
</Properties>
</file>