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beforeLines="50" w:afterLines="50" w:line="360" w:lineRule="auto"/>
        <w:ind w:left="0" w:leftChars="0" w:firstLine="0" w:firstLineChars="0"/>
        <w:jc w:val="both"/>
        <w:rPr>
          <w:rFonts w:hint="eastAsia" w:ascii="Times New Roman" w:hAnsi="Times New Roman" w:cs="宋体"/>
          <w:b/>
          <w:sz w:val="44"/>
          <w:szCs w:val="44"/>
          <w:lang w:val="en-US" w:eastAsia="zh-CN"/>
        </w:rPr>
      </w:pPr>
      <w:bookmarkStart w:id="0" w:name="_Toc514328448"/>
    </w:p>
    <w:p>
      <w:pPr>
        <w:adjustRightInd w:val="0"/>
        <w:snapToGrid w:val="0"/>
        <w:spacing w:beforeLines="50" w:afterLines="50" w:line="360" w:lineRule="auto"/>
        <w:ind w:left="0" w:leftChars="0" w:firstLine="0" w:firstLineChars="0"/>
        <w:jc w:val="center"/>
        <w:rPr>
          <w:rFonts w:hint="eastAsia" w:ascii="Times New Roman" w:hAnsi="Times New Roman" w:cs="宋体"/>
          <w:b w:val="0"/>
          <w:bCs/>
          <w:sz w:val="52"/>
          <w:szCs w:val="52"/>
          <w:lang w:val="en-US" w:eastAsia="zh-CN"/>
        </w:rPr>
      </w:pPr>
      <w:r>
        <w:rPr>
          <w:rFonts w:hint="eastAsia" w:ascii="Times New Roman" w:hAnsi="Times New Roman" w:cs="宋体"/>
          <w:b w:val="0"/>
          <w:bCs/>
          <w:sz w:val="52"/>
          <w:szCs w:val="52"/>
          <w:lang w:val="en-US" w:eastAsia="zh-CN"/>
        </w:rPr>
        <w:t>成都农贷通平台</w:t>
      </w:r>
    </w:p>
    <w:p>
      <w:pPr>
        <w:adjustRightInd w:val="0"/>
        <w:snapToGrid w:val="0"/>
        <w:spacing w:beforeLines="50" w:afterLines="50" w:line="360" w:lineRule="auto"/>
        <w:ind w:left="0" w:leftChars="0" w:firstLine="0" w:firstLineChars="0"/>
        <w:jc w:val="center"/>
        <w:rPr>
          <w:rFonts w:ascii="Times New Roman" w:hAnsi="Times New Roman" w:cs="宋体"/>
          <w:b w:val="0"/>
          <w:bCs/>
          <w:sz w:val="44"/>
          <w:szCs w:val="44"/>
        </w:rPr>
      </w:pPr>
      <w:r>
        <w:rPr>
          <w:rFonts w:hint="eastAsia" w:ascii="Times New Roman" w:hAnsi="Times New Roman" w:cs="宋体"/>
          <w:b w:val="0"/>
          <w:bCs/>
          <w:sz w:val="52"/>
          <w:szCs w:val="52"/>
          <w:lang w:val="en-US" w:eastAsia="zh-CN"/>
        </w:rPr>
        <w:t>小程序申请</w:t>
      </w:r>
      <w:r>
        <w:rPr>
          <w:rFonts w:ascii="Times New Roman" w:hAnsi="Times New Roman" w:cs="宋体"/>
          <w:b w:val="0"/>
          <w:bCs/>
          <w:sz w:val="52"/>
          <w:szCs w:val="52"/>
        </w:rPr>
        <w:t>操作指南</w:t>
      </w:r>
    </w:p>
    <w:p>
      <w:pPr>
        <w:adjustRightInd w:val="0"/>
        <w:snapToGrid w:val="0"/>
        <w:spacing w:beforeLines="50" w:afterLines="50"/>
        <w:jc w:val="center"/>
        <w:rPr>
          <w:rFonts w:ascii="Times New Roman" w:hAnsi="Times New Roman"/>
        </w:rPr>
      </w:pPr>
    </w:p>
    <w:p>
      <w:pPr>
        <w:widowControl/>
        <w:shd w:val="clear" w:color="auto" w:fill="FFFFFF"/>
        <w:jc w:val="center"/>
        <w:rPr>
          <w:rFonts w:ascii="Times New Roman" w:hAnsi="Times New Roman" w:eastAsia="Microsoft YaHei UI" w:cs="宋体"/>
          <w:b/>
          <w:bCs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widowControl/>
        <w:shd w:val="clear" w:color="auto" w:fill="FFFFFF"/>
        <w:jc w:val="center"/>
        <w:rPr>
          <w:rFonts w:ascii="Times New Roman" w:hAnsi="Times New Roman" w:eastAsia="Microsoft YaHei UI" w:cs="宋体"/>
          <w:b/>
          <w:bCs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widowControl/>
        <w:shd w:val="clear" w:color="auto" w:fill="FFFFFF"/>
        <w:jc w:val="center"/>
        <w:rPr>
          <w:rFonts w:ascii="Times New Roman" w:hAnsi="Times New Roman" w:eastAsia="Microsoft YaHei UI" w:cs="宋体"/>
          <w:b/>
          <w:bCs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widowControl/>
        <w:shd w:val="clear" w:color="auto" w:fill="FFFFFF"/>
        <w:jc w:val="center"/>
        <w:rPr>
          <w:rFonts w:ascii="Times New Roman" w:hAnsi="Times New Roman" w:eastAsia="Microsoft YaHei UI" w:cs="宋体"/>
          <w:b/>
          <w:bCs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widowControl/>
        <w:shd w:val="clear" w:color="auto" w:fill="FFFFFF"/>
        <w:jc w:val="center"/>
        <w:rPr>
          <w:rFonts w:ascii="Times New Roman" w:hAnsi="Times New Roman" w:eastAsia="Microsoft YaHei UI" w:cs="宋体"/>
          <w:b/>
          <w:bCs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widowControl/>
        <w:shd w:val="clear" w:color="auto" w:fill="FFFFFF"/>
        <w:jc w:val="center"/>
        <w:rPr>
          <w:rFonts w:ascii="Times New Roman" w:hAnsi="Times New Roman" w:eastAsia="Microsoft YaHei UI" w:cs="宋体"/>
          <w:b/>
          <w:bCs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widowControl/>
        <w:shd w:val="clear" w:color="auto" w:fill="FFFFFF"/>
        <w:jc w:val="center"/>
        <w:rPr>
          <w:rFonts w:ascii="Times New Roman" w:hAnsi="Times New Roman" w:eastAsia="Microsoft YaHei UI" w:cs="宋体"/>
          <w:b/>
          <w:bCs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widowControl/>
        <w:shd w:val="clear" w:color="auto" w:fill="FFFFFF"/>
        <w:jc w:val="center"/>
        <w:rPr>
          <w:rFonts w:ascii="Times New Roman" w:hAnsi="Times New Roman" w:eastAsia="Microsoft YaHei UI" w:cs="宋体"/>
          <w:b/>
          <w:bCs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widowControl/>
        <w:shd w:val="clear" w:color="auto" w:fill="FFFFFF"/>
        <w:jc w:val="center"/>
        <w:rPr>
          <w:rFonts w:ascii="Times New Roman" w:hAnsi="Times New Roman" w:eastAsia="Microsoft YaHei UI" w:cs="宋体"/>
          <w:b/>
          <w:bCs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widowControl/>
        <w:shd w:val="clear" w:color="auto" w:fill="FFFFFF"/>
        <w:ind w:left="0" w:leftChars="0" w:firstLine="0" w:firstLineChars="0"/>
        <w:rPr>
          <w:rFonts w:ascii="Times New Roman" w:hAnsi="Times New Roman" w:eastAsia="Microsoft YaHei UI" w:cs="宋体"/>
          <w:b/>
          <w:bCs/>
          <w:color w:val="000000" w:themeColor="text1"/>
          <w:kern w:val="0"/>
          <w:sz w:val="30"/>
          <w:szCs w:val="30"/>
          <w14:textFill>
            <w14:solidFill>
              <w14:schemeClr w14:val="tx1"/>
            </w14:solidFill>
          </w14:textFill>
        </w:rPr>
      </w:pPr>
    </w:p>
    <w:bookmarkEnd w:id="0"/>
    <w:p>
      <w:pPr>
        <w:bidi w:val="0"/>
        <w:ind w:left="0" w:leftChars="0" w:firstLine="0" w:firstLineChars="0"/>
        <w:jc w:val="center"/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成都金控征信有限公司</w:t>
      </w: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2024年2月</w:t>
      </w: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/>
          <w:sz w:val="36"/>
          <w:szCs w:val="36"/>
          <w:lang w:val="en-US" w:eastAsia="zh-CN"/>
        </w:rPr>
      </w:pP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/>
          <w:sz w:val="36"/>
          <w:szCs w:val="36"/>
          <w:lang w:val="en-US" w:eastAsia="zh-CN"/>
        </w:rPr>
      </w:pP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/>
          <w:sz w:val="36"/>
          <w:szCs w:val="36"/>
          <w:lang w:val="en-US" w:eastAsia="zh-CN"/>
        </w:rPr>
      </w:pP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/>
          <w:sz w:val="36"/>
          <w:szCs w:val="36"/>
          <w:lang w:val="en-US" w:eastAsia="zh-CN"/>
        </w:rPr>
      </w:pP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79562"/>
        <w15:color w:val="DBDBDB"/>
        <w:docPartObj>
          <w:docPartGallery w:val="Table of Contents"/>
          <w:docPartUnique/>
        </w:docPartObj>
      </w:sdtPr>
      <w:sdtEndPr>
        <w:rPr>
          <w:rFonts w:hint="default" w:eastAsia="宋体" w:asciiTheme="minorAscii" w:hAnsiTheme="minorAscii" w:cstheme="minorBidi"/>
          <w:kern w:val="2"/>
          <w:sz w:val="24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TOC \o "1-3" \h \u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_Toc3005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1. </w:t>
          </w:r>
          <w:r>
            <w:rPr>
              <w:rFonts w:hint="eastAsia"/>
              <w:lang w:val="en-US" w:eastAsia="zh-CN"/>
            </w:rPr>
            <w:t>注册与登录</w:t>
          </w:r>
          <w:r>
            <w:tab/>
          </w:r>
          <w:r>
            <w:fldChar w:fldCharType="begin"/>
          </w:r>
          <w:r>
            <w:instrText xml:space="preserve"> PAGEREF _Toc3005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_Toc30288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1.1. </w:t>
          </w:r>
          <w:r>
            <w:rPr>
              <w:rFonts w:hint="eastAsia"/>
              <w:lang w:val="en-US" w:eastAsia="zh-CN"/>
            </w:rPr>
            <w:t>注册</w:t>
          </w:r>
          <w:r>
            <w:tab/>
          </w:r>
          <w:r>
            <w:fldChar w:fldCharType="begin"/>
          </w:r>
          <w:r>
            <w:instrText xml:space="preserve"> PAGEREF _Toc30288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_Toc7885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1.2. </w:t>
          </w:r>
          <w:r>
            <w:rPr>
              <w:rFonts w:hint="eastAsia"/>
              <w:lang w:val="en-US" w:eastAsia="zh-CN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_Toc7885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_Toc22948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2. </w:t>
          </w:r>
          <w:r>
            <w:rPr>
              <w:rFonts w:hint="eastAsia"/>
              <w:lang w:val="en-US" w:eastAsia="zh-CN"/>
            </w:rPr>
            <w:t>个人中心</w:t>
          </w:r>
          <w:r>
            <w:tab/>
          </w:r>
          <w:r>
            <w:fldChar w:fldCharType="begin"/>
          </w:r>
          <w:r>
            <w:instrText xml:space="preserve"> PAGEREF _Toc22948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_Toc1387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2.1. </w:t>
          </w:r>
          <w:r>
            <w:rPr>
              <w:rFonts w:hint="eastAsia"/>
              <w:lang w:val="en-US" w:eastAsia="zh-CN"/>
            </w:rPr>
            <w:t>消息提醒</w:t>
          </w:r>
          <w:r>
            <w:tab/>
          </w:r>
          <w:r>
            <w:fldChar w:fldCharType="begin"/>
          </w:r>
          <w:r>
            <w:instrText xml:space="preserve"> PAGEREF _Toc1387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_Toc16807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2.2. </w:t>
          </w:r>
          <w:r>
            <w:rPr>
              <w:rFonts w:hint="eastAsia"/>
              <w:lang w:val="en-US" w:eastAsia="zh-CN"/>
            </w:rPr>
            <w:t>设置</w:t>
          </w:r>
          <w:r>
            <w:tab/>
          </w:r>
          <w:r>
            <w:fldChar w:fldCharType="begin"/>
          </w:r>
          <w:r>
            <w:instrText xml:space="preserve"> PAGEREF _Toc16807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_Toc4336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2.3. </w:t>
          </w:r>
          <w:r>
            <w:rPr>
              <w:rFonts w:hint="eastAsia"/>
              <w:lang w:val="en-US" w:eastAsia="zh-CN"/>
            </w:rPr>
            <w:t>个人认证</w:t>
          </w:r>
          <w:r>
            <w:tab/>
          </w:r>
          <w:r>
            <w:fldChar w:fldCharType="begin"/>
          </w:r>
          <w:r>
            <w:instrText xml:space="preserve"> PAGEREF _Toc4336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_Toc3853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3. </w:t>
          </w:r>
          <w:r>
            <w:rPr>
              <w:rFonts w:hint="eastAsia"/>
              <w:lang w:val="en-US" w:eastAsia="zh-CN"/>
            </w:rPr>
            <w:t>保费补贴</w:t>
          </w:r>
          <w:r>
            <w:tab/>
          </w:r>
          <w:r>
            <w:fldChar w:fldCharType="begin"/>
          </w:r>
          <w:r>
            <w:instrText xml:space="preserve"> PAGEREF _Toc3853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_Toc10493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3.1. </w:t>
          </w:r>
          <w:r>
            <w:rPr>
              <w:rFonts w:hint="eastAsia"/>
              <w:lang w:val="en-US" w:eastAsia="zh-CN"/>
            </w:rPr>
            <w:t>保费补贴列表入口</w:t>
          </w:r>
          <w:r>
            <w:tab/>
          </w:r>
          <w:r>
            <w:fldChar w:fldCharType="begin"/>
          </w:r>
          <w:r>
            <w:instrText xml:space="preserve"> PAGEREF _Toc10493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_Toc21958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3.2. </w:t>
          </w:r>
          <w:r>
            <w:rPr>
              <w:rFonts w:hint="eastAsia"/>
              <w:lang w:val="en-US" w:eastAsia="zh-CN"/>
            </w:rPr>
            <w:t>保费补贴申请</w:t>
          </w:r>
          <w:r>
            <w:tab/>
          </w:r>
          <w:r>
            <w:fldChar w:fldCharType="begin"/>
          </w:r>
          <w:r>
            <w:instrText xml:space="preserve"> PAGEREF _Toc21958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_Toc31052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3.3. </w:t>
          </w:r>
          <w:r>
            <w:rPr>
              <w:rFonts w:hint="eastAsia"/>
              <w:lang w:val="en-US" w:eastAsia="zh-CN"/>
            </w:rPr>
            <w:t>申请记录查看</w:t>
          </w:r>
          <w:r>
            <w:tab/>
          </w:r>
          <w:r>
            <w:fldChar w:fldCharType="begin"/>
          </w:r>
          <w:r>
            <w:instrText xml:space="preserve"> PAGEREF _Toc31052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both"/>
            <w:rPr>
              <w:rFonts w:hint="default"/>
              <w:lang w:val="en-US" w:eastAsia="zh-CN"/>
            </w:rPr>
          </w:pPr>
          <w:r>
            <w:rPr>
              <w:rFonts w:hint="default"/>
              <w:lang w:val="en-US" w:eastAsia="zh-CN"/>
            </w:rPr>
            <w:fldChar w:fldCharType="end"/>
          </w:r>
        </w:p>
      </w:sdtContent>
    </w:sdt>
    <w:p>
      <w:pPr>
        <w:bidi w:val="0"/>
        <w:rPr>
          <w:rFonts w:hint="default"/>
          <w:lang w:val="en-US" w:eastAsia="zh-CN"/>
        </w:rPr>
      </w:pPr>
      <w:bookmarkStart w:id="1" w:name="_Toc9643"/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p>
      <w:pPr>
        <w:pStyle w:val="2"/>
        <w:bidi w:val="0"/>
        <w:rPr>
          <w:rFonts w:hint="default"/>
          <w:lang w:val="en-US" w:eastAsia="zh-CN"/>
        </w:rPr>
      </w:pPr>
      <w:bookmarkStart w:id="2" w:name="_Toc3005"/>
      <w:r>
        <w:rPr>
          <w:rFonts w:hint="eastAsia"/>
          <w:lang w:val="en-US" w:eastAsia="zh-CN"/>
        </w:rPr>
        <w:t>注册与登录</w:t>
      </w:r>
      <w:bookmarkEnd w:id="1"/>
      <w:bookmarkEnd w:id="2"/>
    </w:p>
    <w:p>
      <w:pPr>
        <w:pStyle w:val="3"/>
        <w:bidi w:val="0"/>
        <w:rPr>
          <w:rFonts w:hint="eastAsia"/>
          <w:lang w:val="en-US" w:eastAsia="zh-CN"/>
        </w:rPr>
      </w:pPr>
      <w:bookmarkStart w:id="3" w:name="_Toc30326"/>
      <w:bookmarkStart w:id="4" w:name="_Toc30288"/>
      <w:r>
        <w:rPr>
          <w:rFonts w:hint="eastAsia"/>
          <w:lang w:val="en-US" w:eastAsia="zh-CN"/>
        </w:rPr>
        <w:t>注册</w:t>
      </w:r>
      <w:bookmarkEnd w:id="3"/>
      <w:bookmarkEnd w:id="4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通过搜索“成都农贷通”查找小程序，选择小程序点击进入。进入页面后，用户可选择创建账号，进行注册。</w:t>
      </w: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414905" cy="5298440"/>
            <wp:effectExtent l="0" t="0" r="8255" b="508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14905" cy="529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61260" cy="5307330"/>
            <wp:effectExtent l="0" t="0" r="7620" b="1143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530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</w:pPr>
    </w:p>
    <w:p>
      <w:pPr>
        <w:ind w:left="0" w:leftChars="0" w:firstLine="480" w:firstLineChars="20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进入注册页面后：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1.输入手机号，点击“获取验证码”，完成图片移动验证；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2.接收短信验证码，并在要求时间内输入有效验证码；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3.输入2次登陆密码，密码要求8至16位的数字、字母组合；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4.点击立即注册即可注册成功；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5.若用户为村站联络员推荐用户，则需要输入邀请码进行提交</w:t>
      </w:r>
    </w:p>
    <w:p>
      <w:pPr>
        <w:pStyle w:val="3"/>
        <w:bidi w:val="0"/>
        <w:rPr>
          <w:rFonts w:hint="eastAsia"/>
          <w:lang w:val="en-US" w:eastAsia="zh-CN"/>
        </w:rPr>
      </w:pPr>
      <w:bookmarkStart w:id="5" w:name="_Toc7885"/>
      <w:bookmarkStart w:id="6" w:name="_Toc22462"/>
      <w:r>
        <w:rPr>
          <w:rFonts w:hint="eastAsia"/>
          <w:lang w:val="en-US" w:eastAsia="zh-CN"/>
        </w:rPr>
        <w:t>登录</w:t>
      </w:r>
      <w:bookmarkEnd w:id="5"/>
      <w:bookmarkEnd w:id="6"/>
    </w:p>
    <w:p>
      <w:pPr>
        <w:ind w:left="0" w:leftChars="0" w:firstLine="48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（1）微信账号快捷登录：已完成注册且绑定了微信的用户，点击微信账号快捷登录后，页面会自动完成登录。</w:t>
      </w: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660015" cy="5848350"/>
            <wp:effectExtent l="0" t="0" r="6985" b="381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84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（2）账号密码登录，用户手动输入账号、密码进行登录操作；</w:t>
      </w:r>
    </w:p>
    <w:p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2631440" cy="4526915"/>
            <wp:effectExtent l="0" t="0" r="5080" b="14605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31440" cy="452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（3）短信验证码登录：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t>输入手机号，获取短信验证码进行登录操作；</w:t>
      </w:r>
    </w:p>
    <w:p>
      <w:pPr>
        <w:ind w:left="0" w:leftChars="0" w:firstLine="0" w:firstLineChars="0"/>
        <w:jc w:val="center"/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629535" cy="4511675"/>
            <wp:effectExtent l="0" t="0" r="6985" b="14605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29535" cy="451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pStyle w:val="2"/>
        <w:bidi w:val="0"/>
        <w:rPr>
          <w:rFonts w:hint="eastAsia"/>
          <w:lang w:val="en-US" w:eastAsia="zh-CN"/>
        </w:rPr>
      </w:pPr>
      <w:bookmarkStart w:id="7" w:name="_Toc22807"/>
      <w:bookmarkStart w:id="8" w:name="_Toc22948"/>
      <w:r>
        <w:rPr>
          <w:rFonts w:hint="eastAsia"/>
          <w:lang w:val="en-US" w:eastAsia="zh-CN"/>
        </w:rPr>
        <w:t>个人中心</w:t>
      </w:r>
      <w:bookmarkEnd w:id="7"/>
      <w:bookmarkEnd w:id="8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通过页面最下端导航栏中的“我的”可进入个人中心，在个人中心用户可进行查看业务办理记录、进行个人认证等操作。</w:t>
      </w:r>
    </w:p>
    <w:p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453640" cy="4366895"/>
            <wp:effectExtent l="0" t="0" r="0" b="6985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53640" cy="436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bookmarkStart w:id="9" w:name="_Toc17641"/>
    </w:p>
    <w:p>
      <w:pPr>
        <w:pStyle w:val="3"/>
        <w:bidi w:val="0"/>
        <w:rPr>
          <w:rFonts w:hint="eastAsia"/>
          <w:lang w:val="en-US" w:eastAsia="zh-CN"/>
        </w:rPr>
      </w:pPr>
      <w:bookmarkStart w:id="10" w:name="_Toc1387"/>
      <w:r>
        <w:rPr>
          <w:rFonts w:hint="eastAsia"/>
          <w:lang w:val="en-US" w:eastAsia="zh-CN"/>
        </w:rPr>
        <w:t>消息提醒</w:t>
      </w:r>
      <w:bookmarkEnd w:id="10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在个人中心，用户可点击消息图标，进入消息列表页面，页面会展示业务动态信息，未读的消息信息会显示红点标记。有新的未读消息时，首页会出现消息提示，可直接点击进入消息列表。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2526665" cy="4504690"/>
            <wp:effectExtent l="0" t="0" r="3175" b="6350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450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34285" cy="4496435"/>
            <wp:effectExtent l="0" t="0" r="10795" b="14605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34285" cy="449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2766060" cy="4924425"/>
            <wp:effectExtent l="0" t="0" r="7620" b="13335"/>
            <wp:docPr id="9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5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6606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default"/>
          <w:lang w:val="en-US" w:eastAsia="zh-CN"/>
        </w:rPr>
      </w:pPr>
      <w:bookmarkStart w:id="11" w:name="_Toc16807"/>
      <w:r>
        <w:rPr>
          <w:rFonts w:hint="eastAsia"/>
          <w:lang w:val="en-US" w:eastAsia="zh-CN"/>
        </w:rPr>
        <w:t>设置</w:t>
      </w:r>
      <w:bookmarkEnd w:id="11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在个人中心页面，用户可点击设置图标，进入设置页面。在设置页面，用户可进行账号切换、退出账号操作。</w:t>
      </w:r>
    </w:p>
    <w:p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2506980" cy="4488815"/>
            <wp:effectExtent l="0" t="0" r="7620" b="698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448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49525" cy="4485640"/>
            <wp:effectExtent l="0" t="0" r="10795" b="10160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49525" cy="448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both"/>
        <w:rPr>
          <w:rFonts w:hint="eastAsia"/>
          <w:lang w:val="en-US" w:eastAsia="zh-CN"/>
        </w:rPr>
      </w:pPr>
    </w:p>
    <w:bookmarkEnd w:id="9"/>
    <w:p>
      <w:pPr>
        <w:pStyle w:val="3"/>
        <w:bidi w:val="0"/>
        <w:rPr>
          <w:rFonts w:hint="eastAsia"/>
          <w:lang w:val="en-US" w:eastAsia="zh-CN"/>
        </w:rPr>
      </w:pPr>
      <w:bookmarkStart w:id="12" w:name="_Toc4336"/>
      <w:bookmarkStart w:id="13" w:name="_Toc11930"/>
      <w:r>
        <w:rPr>
          <w:rFonts w:hint="eastAsia"/>
          <w:lang w:val="en-US" w:eastAsia="zh-CN"/>
        </w:rPr>
        <w:t>个人认证</w:t>
      </w:r>
      <w:bookmarkEnd w:id="12"/>
      <w:bookmarkEnd w:id="13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1.导航栏点击我的，点击个人认证（已认证的用户显示已认证，且不可点击）进入实名认证页面；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2.填写用户姓名、身份证号、手机号、注册地址，拍照上传；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3.拍照后即可进行提交认证申请。</w:t>
      </w:r>
    </w:p>
    <w:p>
      <w:pPr>
        <w:bidi w:val="0"/>
        <w:ind w:left="0" w:leftChars="0" w:firstLine="0" w:firstLineChars="0"/>
        <w:jc w:val="center"/>
      </w:pPr>
      <w:r>
        <w:drawing>
          <wp:inline distT="0" distB="0" distL="114300" distR="114300">
            <wp:extent cx="2538095" cy="5201285"/>
            <wp:effectExtent l="0" t="0" r="6985" b="10795"/>
            <wp:docPr id="4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38095" cy="520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  <w:jc w:val="center"/>
      </w:pPr>
      <w:r>
        <w:drawing>
          <wp:inline distT="0" distB="0" distL="114300" distR="114300">
            <wp:extent cx="2734310" cy="5601335"/>
            <wp:effectExtent l="0" t="0" r="8890" b="6985"/>
            <wp:docPr id="4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34310" cy="560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2646680" cy="5546090"/>
            <wp:effectExtent l="0" t="0" r="5080" b="1270"/>
            <wp:docPr id="4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46680" cy="554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rPr>
          <w:rFonts w:hint="eastAsia"/>
          <w:lang w:val="en-US" w:eastAsia="zh-CN"/>
        </w:rPr>
      </w:pPr>
      <w:bookmarkStart w:id="14" w:name="_Toc3853"/>
      <w:bookmarkStart w:id="15" w:name="_Toc16122"/>
      <w:r>
        <w:rPr>
          <w:rFonts w:hint="eastAsia"/>
          <w:lang w:val="en-US" w:eastAsia="zh-CN"/>
        </w:rPr>
        <w:t>保费补贴</w:t>
      </w:r>
      <w:bookmarkEnd w:id="14"/>
    </w:p>
    <w:p>
      <w:pPr>
        <w:pStyle w:val="3"/>
        <w:bidi w:val="0"/>
        <w:rPr>
          <w:rFonts w:hint="default"/>
          <w:lang w:val="en-US" w:eastAsia="zh-CN"/>
        </w:rPr>
      </w:pPr>
      <w:bookmarkStart w:id="16" w:name="_Toc10493"/>
      <w:r>
        <w:rPr>
          <w:rFonts w:hint="eastAsia"/>
          <w:lang w:val="en-US" w:eastAsia="zh-CN"/>
        </w:rPr>
        <w:t>保费补贴列表入口</w:t>
      </w:r>
      <w:bookmarkEnd w:id="16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通过首页展示的保费补贴图标及导航栏惠农政策，可进入保费补贴列表页面。</w:t>
      </w:r>
    </w:p>
    <w:p>
      <w:pPr>
        <w:ind w:left="0" w:leftChars="0" w:firstLine="0" w:firstLineChars="0"/>
        <w:jc w:val="center"/>
      </w:pPr>
      <w:r>
        <w:drawing>
          <wp:inline distT="0" distB="0" distL="114300" distR="114300">
            <wp:extent cx="2956560" cy="5234940"/>
            <wp:effectExtent l="0" t="0" r="0" b="7620"/>
            <wp:docPr id="8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523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保费补贴产品列表：</w:t>
      </w:r>
    </w:p>
    <w:p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3033395" cy="5399405"/>
            <wp:effectExtent l="0" t="0" r="14605" b="10795"/>
            <wp:docPr id="8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4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33395" cy="539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default"/>
          <w:lang w:val="en-US" w:eastAsia="zh-CN"/>
        </w:rPr>
      </w:pPr>
      <w:bookmarkStart w:id="17" w:name="_Toc21958"/>
      <w:r>
        <w:rPr>
          <w:rFonts w:hint="eastAsia"/>
          <w:lang w:val="en-US" w:eastAsia="zh-CN"/>
        </w:rPr>
        <w:t>保费补贴申请</w:t>
      </w:r>
      <w:bookmarkEnd w:id="17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用户进入保费补贴信息填写页面，对页面信息进行填写，完成信息填写后即可提交。（同一身份证号仅能申请一次，申请被拒绝后可重新进行申请）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（1）基本信息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用户在申请时，系统会根据用户身份证号查询用户职业经理人信息并返显，用户可修改信息；没有返显的需要用户手动进行填写。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用户申请时，需要根据实际情况选择申报主体类型，不同的申报主题类型在承保信息、基础材料信息采集中会有所不同。</w:t>
      </w:r>
    </w:p>
    <w:p>
      <w:pPr>
        <w:bidi w:val="0"/>
        <w:ind w:left="0" w:leftChars="0" w:firstLine="0" w:firstLineChars="0"/>
        <w:jc w:val="center"/>
      </w:pPr>
      <w:r>
        <w:drawing>
          <wp:inline distT="0" distB="0" distL="114300" distR="114300">
            <wp:extent cx="2750820" cy="3741420"/>
            <wp:effectExtent l="0" t="0" r="762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374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承保信息</w:t>
      </w:r>
    </w:p>
    <w:p>
      <w:pPr>
        <w:bidi w:val="0"/>
        <w:ind w:left="0" w:leftChars="0" w:firstLine="480" w:firstLineChars="20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用户填写承保信息时，应当根据实际情况进行填写，在提交前可进行修改；需要填写多条时，需要点击添加按钮进行新增。</w:t>
      </w:r>
    </w:p>
    <w:p>
      <w:pPr>
        <w:bidi w:val="0"/>
        <w:ind w:left="0" w:leftChars="0" w:firstLine="0" w:firstLineChars="0"/>
        <w:jc w:val="center"/>
      </w:pPr>
      <w:r>
        <w:drawing>
          <wp:inline distT="0" distB="0" distL="114300" distR="114300">
            <wp:extent cx="3268980" cy="5334000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68980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基础材料</w:t>
      </w:r>
    </w:p>
    <w:p>
      <w:pPr>
        <w:bidi w:val="0"/>
        <w:ind w:left="0" w:leftChars="0" w:firstLine="480" w:firstLineChars="20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用户在基础材料上传时，可选择示例模板进行预览、下载，小程序上传时，只能上传图片，可上传多张。</w:t>
      </w:r>
    </w:p>
    <w:p>
      <w:pPr>
        <w:bidi w:val="0"/>
        <w:ind w:left="0" w:leftChars="0" w:firstLine="0" w:firstLineChars="0"/>
        <w:jc w:val="center"/>
      </w:pPr>
      <w:r>
        <w:drawing>
          <wp:inline distT="0" distB="0" distL="114300" distR="114300">
            <wp:extent cx="3253740" cy="5364480"/>
            <wp:effectExtent l="0" t="0" r="762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536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left="0" w:leftChars="0" w:firstLine="0" w:firstLineChars="0"/>
        <w:jc w:val="left"/>
        <w:rPr>
          <w:rFonts w:hint="default" w:eastAsia="宋体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提交申请</w:t>
      </w:r>
    </w:p>
    <w:p>
      <w:pPr>
        <w:numPr>
          <w:ilvl w:val="0"/>
          <w:numId w:val="0"/>
        </w:numPr>
        <w:ind w:firstLine="48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完成信息填写及文件上传后，用户即可提交申请。申请信息提交后，页面可跳转至申请记录页面，用户可在此页面查看申请信息及处理进度。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2376805" cy="5223510"/>
            <wp:effectExtent l="0" t="0" r="635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76805" cy="522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85695" cy="5193665"/>
            <wp:effectExtent l="0" t="0" r="6985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85695" cy="519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18" w:name="_Toc31052"/>
      <w:r>
        <w:rPr>
          <w:rFonts w:hint="eastAsia"/>
          <w:lang w:val="en-US" w:eastAsia="zh-CN"/>
        </w:rPr>
        <w:t>申请记录查看</w:t>
      </w:r>
      <w:bookmarkEnd w:id="18"/>
    </w:p>
    <w:p>
      <w:pPr>
        <w:numPr>
          <w:ilvl w:val="0"/>
          <w:numId w:val="0"/>
        </w:numPr>
        <w:ind w:firstLine="48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保费补贴申请信息可在业务办理记录中进行查看，申请被拒绝后，可重新进行申请；申请被驳回后，需要登录电脑端，查看驳回原因，修改后重新提交。</w:t>
      </w:r>
    </w:p>
    <w:p>
      <w:pPr>
        <w:numPr>
          <w:ilvl w:val="0"/>
          <w:numId w:val="0"/>
        </w:num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2310130" cy="4594860"/>
            <wp:effectExtent l="0" t="0" r="635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459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69465" cy="4595495"/>
            <wp:effectExtent l="0" t="0" r="317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69465" cy="459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5"/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left="0" w:leftChars="0" w:firstLine="0" w:firstLineChars="0"/>
    </w:pPr>
    <w:r>
      <w:drawing>
        <wp:inline distT="0" distB="0" distL="114300" distR="114300">
          <wp:extent cx="1096645" cy="309880"/>
          <wp:effectExtent l="0" t="0" r="0" b="8255"/>
          <wp:docPr id="12" name="图片 1" descr="C:/Users/Raven/Desktop/4 农贷通及公司logo/农贷通logo.png农贷通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" descr="C:/Users/Raven/Desktop/4 农贷通及公司logo/农贷通logo.png农贷通logo"/>
                  <pic:cNvPicPr>
                    <a:picLocks noChangeAspect="1"/>
                  </pic:cNvPicPr>
                </pic:nvPicPr>
                <pic:blipFill>
                  <a:blip r:embed="rId1"/>
                  <a:srcRect t="23625" b="23625"/>
                  <a:stretch>
                    <a:fillRect/>
                  </a:stretch>
                </pic:blipFill>
                <pic:spPr>
                  <a:xfrm>
                    <a:off x="0" y="0"/>
                    <a:ext cx="1096645" cy="309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Start w:id="19" w:name="_GoBack"/>
    <w:bookmarkEnd w:id="19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406109A"/>
    <w:multiLevelType w:val="multilevel"/>
    <w:tmpl w:val="B406109A"/>
    <w:lvl w:ilvl="0" w:tentative="0">
      <w:start w:val="1"/>
      <w:numFmt w:val="decimal"/>
      <w:pStyle w:val="2"/>
      <w:isLgl/>
      <w:lvlText w:val="%1."/>
      <w:lvlJc w:val="left"/>
      <w:pPr>
        <w:ind w:left="425" w:hanging="425"/>
      </w:pPr>
      <w:rPr>
        <w:rFonts w:hint="default" w:ascii="宋体" w:hAnsi="宋体" w:eastAsia="宋体" w:cs="宋体"/>
      </w:rPr>
    </w:lvl>
    <w:lvl w:ilvl="1" w:tentative="0">
      <w:start w:val="1"/>
      <w:numFmt w:val="decimal"/>
      <w:pStyle w:val="3"/>
      <w:lvlText w:val="%1.%2."/>
      <w:lvlJc w:val="left"/>
      <w:pPr>
        <w:ind w:left="567" w:hanging="567"/>
      </w:pPr>
      <w:rPr>
        <w:rFonts w:hint="default" w:ascii="宋体" w:hAnsi="宋体" w:eastAsia="宋体" w:cs="宋体"/>
      </w:rPr>
    </w:lvl>
    <w:lvl w:ilvl="2" w:tentative="0">
      <w:start w:val="1"/>
      <w:numFmt w:val="decimal"/>
      <w:pStyle w:val="4"/>
      <w:lvlText w:val="%1.%2.%3."/>
      <w:lvlJc w:val="left"/>
      <w:pPr>
        <w:tabs>
          <w:tab w:val="left" w:pos="0"/>
        </w:tabs>
        <w:ind w:left="0" w:leftChars="0" w:firstLine="0" w:firstLineChars="0"/>
      </w:pPr>
      <w:rPr>
        <w:rFonts w:hint="default" w:ascii="宋体" w:hAnsi="宋体" w:eastAsia="宋体" w:cs="宋体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JkM2IxYzJiZDk3YjFlOWFlNzJhMGI5Y2JiNzk1OTIifQ=="/>
    <w:docVar w:name="KSO_WPS_MARK_KEY" w:val="57541fae-dfde-412e-b367-b861418d4b82"/>
  </w:docVars>
  <w:rsids>
    <w:rsidRoot w:val="4E5C11D8"/>
    <w:rsid w:val="016D6730"/>
    <w:rsid w:val="02F34DDD"/>
    <w:rsid w:val="055845C1"/>
    <w:rsid w:val="09BF1C73"/>
    <w:rsid w:val="0E29590C"/>
    <w:rsid w:val="101C2BC0"/>
    <w:rsid w:val="11001106"/>
    <w:rsid w:val="14E03ACA"/>
    <w:rsid w:val="19437DBA"/>
    <w:rsid w:val="19600F94"/>
    <w:rsid w:val="1A912BFF"/>
    <w:rsid w:val="1BB9158A"/>
    <w:rsid w:val="1C1653AD"/>
    <w:rsid w:val="24DC0083"/>
    <w:rsid w:val="2AFD4915"/>
    <w:rsid w:val="2B82076E"/>
    <w:rsid w:val="2F8F3679"/>
    <w:rsid w:val="386E43A3"/>
    <w:rsid w:val="3C2C43E7"/>
    <w:rsid w:val="3F073917"/>
    <w:rsid w:val="41BE4687"/>
    <w:rsid w:val="42B75819"/>
    <w:rsid w:val="42C90FF7"/>
    <w:rsid w:val="43453422"/>
    <w:rsid w:val="4BA06028"/>
    <w:rsid w:val="4E5C11D8"/>
    <w:rsid w:val="51695857"/>
    <w:rsid w:val="58461B0B"/>
    <w:rsid w:val="596F3716"/>
    <w:rsid w:val="5BEC7D4D"/>
    <w:rsid w:val="60097886"/>
    <w:rsid w:val="639A7A08"/>
    <w:rsid w:val="6FDF46C1"/>
    <w:rsid w:val="740D26B8"/>
    <w:rsid w:val="7E2A629F"/>
    <w:rsid w:val="7EDC60CB"/>
    <w:rsid w:val="7F012C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60" w:lineRule="auto"/>
      <w:ind w:firstLine="883" w:firstLineChars="200"/>
      <w:jc w:val="both"/>
    </w:pPr>
    <w:rPr>
      <w:rFonts w:eastAsia="宋体" w:asciiTheme="minorAscii" w:hAnsiTheme="minorAscii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autoRedefine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ind w:left="0" w:firstLine="0" w:firstLineChars="0"/>
      <w:outlineLvl w:val="0"/>
    </w:pPr>
    <w:rPr>
      <w:rFonts w:ascii="Times New Roman" w:hAnsi="Times New Roman"/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numPr>
        <w:ilvl w:val="1"/>
        <w:numId w:val="1"/>
      </w:numPr>
      <w:spacing w:before="260" w:after="260" w:line="360" w:lineRule="auto"/>
      <w:ind w:left="0" w:firstLine="0" w:firstLineChars="0"/>
      <w:outlineLvl w:val="1"/>
    </w:pPr>
    <w:rPr>
      <w:rFonts w:ascii="Times New Roman" w:hAnsi="Times New Roman" w:cstheme="majorBidi"/>
      <w:b/>
      <w:bCs/>
      <w:sz w:val="32"/>
      <w:szCs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numPr>
        <w:ilvl w:val="2"/>
        <w:numId w:val="1"/>
      </w:numPr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1">
    <w:name w:val="Default Paragraph Font"/>
    <w:autoRedefine/>
    <w:semiHidden/>
    <w:qFormat/>
    <w:uiPriority w:val="0"/>
  </w:style>
  <w:style w:type="table" w:default="1" w:styleId="10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autoRedefine/>
    <w:qFormat/>
    <w:uiPriority w:val="0"/>
    <w:pPr>
      <w:ind w:left="840" w:leftChars="400"/>
    </w:pPr>
  </w:style>
  <w:style w:type="paragraph" w:styleId="6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autoRedefine/>
    <w:qFormat/>
    <w:uiPriority w:val="0"/>
  </w:style>
  <w:style w:type="paragraph" w:styleId="9">
    <w:name w:val="toc 2"/>
    <w:basedOn w:val="1"/>
    <w:next w:val="1"/>
    <w:autoRedefine/>
    <w:qFormat/>
    <w:uiPriority w:val="0"/>
    <w:pPr>
      <w:ind w:left="420" w:leftChars="200"/>
    </w:pPr>
  </w:style>
  <w:style w:type="character" w:customStyle="1" w:styleId="12">
    <w:name w:val="标题 1 Char"/>
    <w:link w:val="2"/>
    <w:autoRedefine/>
    <w:qFormat/>
    <w:uiPriority w:val="0"/>
    <w:rPr>
      <w:rFonts w:ascii="Times New Roman" w:hAnsi="Times New Roman" w:eastAsia="宋体"/>
      <w:b/>
      <w:kern w:val="44"/>
      <w:sz w:val="44"/>
    </w:rPr>
  </w:style>
  <w:style w:type="paragraph" w:customStyle="1" w:styleId="13">
    <w:name w:val="WPSOffice手动目录 1"/>
    <w:autoRedefine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4">
    <w:name w:val="WPSOffice手动目录 2"/>
    <w:autoRedefine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5">
    <w:name w:val="WPSOffice手动目录 3"/>
    <w:autoRedefine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46</Pages>
  <Words>2510</Words>
  <Characters>2629</Characters>
  <Lines>0</Lines>
  <Paragraphs>0</Paragraphs>
  <TotalTime>1</TotalTime>
  <ScaleCrop>false</ScaleCrop>
  <LinksUpToDate>false</LinksUpToDate>
  <CharactersWithSpaces>2741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2021-04-01T06:57:00Z</dcterms:created>
  <dc:creator>ASUS</dc:creator>
  <cp:lastModifiedBy>忧郁的香菇酱</cp:lastModifiedBy>
  <dcterms:modified xsi:type="dcterms:W3CDTF">2024-02-27T03:20:05Z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768B155D0F34451CB913F5BE42182459</vt:lpwstr>
  </property>
</Properties>
</file>