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52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52"/>
          <w:lang w:eastAsia="zh-CN"/>
        </w:rPr>
        <w:t>成都市温江区寿安镇</w:t>
      </w:r>
      <w:r>
        <w:rPr>
          <w:rFonts w:hint="default" w:ascii="Times New Roman" w:hAnsi="Times New Roman" w:eastAsia="方正小标宋简体" w:cs="Times New Roman"/>
          <w:sz w:val="44"/>
          <w:szCs w:val="52"/>
          <w:lang w:eastAsia="zh-CN"/>
        </w:rPr>
        <w:t>乡村振兴人才孵化实训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52"/>
        </w:rPr>
      </w:pPr>
      <w:r>
        <w:rPr>
          <w:rFonts w:hint="default" w:ascii="Times New Roman" w:hAnsi="Times New Roman" w:eastAsia="方正小标宋简体" w:cs="Times New Roman"/>
          <w:sz w:val="44"/>
          <w:szCs w:val="52"/>
          <w:lang w:eastAsia="zh-CN"/>
        </w:rPr>
        <w:t>基地项目</w:t>
      </w:r>
      <w:r>
        <w:rPr>
          <w:rFonts w:ascii="Times New Roman" w:hAnsi="Times New Roman" w:eastAsia="方正小标宋简体"/>
          <w:sz w:val="44"/>
          <w:szCs w:val="52"/>
        </w:rPr>
        <w:t>申报</w:t>
      </w:r>
      <w:r>
        <w:rPr>
          <w:rFonts w:hint="default" w:ascii="Times New Roman" w:hAnsi="Times New Roman" w:eastAsia="方正小标宋简体" w:cs="Times New Roman"/>
          <w:sz w:val="44"/>
          <w:szCs w:val="52"/>
        </w:rPr>
        <w:t>公告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乡村振兴人才孵化实训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基地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预算金额：28万元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立项需求：详见立项需求附件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合同履行期限：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（具体以合同约定为准）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二、申请人的资格要求：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（一）</w:t>
      </w:r>
      <w:r>
        <w:rPr>
          <w:rFonts w:hint="eastAsia" w:eastAsia="仿宋_GB2312"/>
          <w:sz w:val="32"/>
          <w:szCs w:val="32"/>
        </w:rPr>
        <w:t>依法设立的企</w:t>
      </w:r>
      <w:r>
        <w:rPr>
          <w:rFonts w:hint="eastAsia" w:eastAsia="仿宋_GB2312"/>
          <w:sz w:val="32"/>
          <w:szCs w:val="32"/>
          <w:lang w:eastAsia="zh-CN"/>
        </w:rPr>
        <w:t>业</w:t>
      </w:r>
      <w:r>
        <w:rPr>
          <w:rFonts w:hint="eastAsia"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eastAsia="zh-CN"/>
        </w:rPr>
        <w:t>社会</w:t>
      </w:r>
      <w:r>
        <w:rPr>
          <w:rFonts w:hint="eastAsia" w:eastAsia="仿宋_GB2312"/>
          <w:sz w:val="32"/>
          <w:szCs w:val="32"/>
        </w:rPr>
        <w:t>组织</w:t>
      </w:r>
      <w:r>
        <w:rPr>
          <w:rFonts w:hint="eastAsia" w:eastAsia="仿宋_GB2312"/>
          <w:sz w:val="32"/>
          <w:szCs w:val="32"/>
          <w:lang w:eastAsia="zh-CN"/>
        </w:rPr>
        <w:t>等</w:t>
      </w:r>
      <w:r>
        <w:rPr>
          <w:rFonts w:hint="eastAsia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（二）具有独立承担民事责任的能力；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）组织机构健全，内部管理和监督制度完善；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（四）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具有良好的商业信誉和健全的财务会计制度；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（五）具有履行合同所必需的设备和专业技术能力；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（六）有依法缴纳税收和社会保障资金的良好记录；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）具有履行合同所必需的专业技术能力及专业人员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）参加本次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评审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前5年内，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报名单位及其现任法定代表人、主要负责人没有行贿犯罪记录，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在经营活动中没有违法违规记录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（九）法律、行政法规规定的其他条件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截止时间：2024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地点：温江区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寿安镇政星街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C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40"/>
          <w:lang w:eastAsia="zh-CN"/>
        </w:rPr>
        <w:t>注意事项：报名</w:t>
      </w:r>
      <w:r>
        <w:rPr>
          <w:rFonts w:hint="default" w:ascii="Times New Roman" w:hAnsi="Times New Roman" w:eastAsia="仿宋_GB2312"/>
          <w:sz w:val="32"/>
          <w:szCs w:val="40"/>
        </w:rPr>
        <w:t>单位达到2个及以上可组织开展评审</w:t>
      </w:r>
      <w:r>
        <w:rPr>
          <w:rFonts w:hint="eastAsia" w:ascii="Times New Roman" w:hAnsi="Times New Roman" w:eastAsia="仿宋_GB2312"/>
          <w:sz w:val="32"/>
          <w:szCs w:val="40"/>
          <w:lang w:eastAsia="zh-CN"/>
        </w:rPr>
        <w:t>，报名</w:t>
      </w:r>
      <w:r>
        <w:rPr>
          <w:rFonts w:hint="default" w:ascii="Times New Roman" w:hAnsi="Times New Roman" w:eastAsia="仿宋_GB2312"/>
          <w:sz w:val="32"/>
          <w:szCs w:val="40"/>
        </w:rPr>
        <w:t>单位</w:t>
      </w:r>
      <w:r>
        <w:rPr>
          <w:rFonts w:hint="eastAsia" w:ascii="Times New Roman" w:hAnsi="Times New Roman" w:eastAsia="仿宋_GB2312"/>
          <w:sz w:val="32"/>
          <w:szCs w:val="40"/>
          <w:lang w:eastAsia="zh-CN"/>
        </w:rPr>
        <w:t>未</w:t>
      </w:r>
      <w:r>
        <w:rPr>
          <w:rFonts w:hint="default" w:ascii="Times New Roman" w:hAnsi="Times New Roman" w:eastAsia="仿宋_GB2312"/>
          <w:sz w:val="32"/>
          <w:szCs w:val="40"/>
        </w:rPr>
        <w:t>达到2个</w:t>
      </w:r>
      <w:r>
        <w:rPr>
          <w:rFonts w:hint="eastAsia" w:ascii="Times New Roman" w:hAnsi="Times New Roman" w:eastAsia="仿宋_GB2312"/>
          <w:sz w:val="32"/>
          <w:szCs w:val="40"/>
          <w:lang w:eastAsia="zh-CN"/>
        </w:rPr>
        <w:t>的需重新组织报名。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时间：2024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地点：温江区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寿安镇政星街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评审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结果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公示期为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个工作日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。公示期满无异议的，将与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项目实施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单位签订合同。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六、其他补充事宜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付款方式：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完成合同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签订并收到项目实施单位提供的发票后，根据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合同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按程序兑现立项项目启动资金（不超过拟资助金额的50%）；项目完成并验收合格后收到项目实施单位提供的发票后，按程序兑现剩余资金（资助总额不超过经审定的拟资助金额）。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七、联系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发包人信息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名称：成都市温江区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寿安镇人民政府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地址：温江区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寿安镇政星街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联系方式：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82645418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2098" w:right="1531" w:bottom="1928" w:left="1531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附件：立项需求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t>立项需求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1000" w:right="0" w:firstLine="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项目概况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寿安镇作为四川省旅游产业强镇、花木编艺发祥地，花木产业、民宿产业比较优势明显。为促进发挥以产业聚人才，以人才兴产业的作用，引进和培养更多具有创新精神和实际操作经验的乡村振兴人才，现拟开展“支持社会力量领办高品质人才服务”项目，探索“乡建合伙人”模式，打造乡村振兴人才孵化实训基地。为构建“姓温有据"的“3+6"现代化产业体系，探索具有寿安特色的人才引育新路径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2.服务内容及服务要求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2.1服务内容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2.1.1打造人才孵化实训基地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构建空间留人才，人才孵化实训基地重在完善和提升高品质人才孵化和招引功能。以专业化服务与社交化机制吸引和集聚高品质人才，通过各具特色、形式多样的交流和培训活动，构筑人才集聚发展新平台。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2.1.2开展高品质人才招引工作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拓宽渠道引人才，深化寿安镇乡建合伙人模式建设，创新创造人才招引新形式，迈开步子走出去，敞开大门引进来，扎实做好寿安镇乡建合伙人服务内容，筑巢引凤，倾力打造寿安镇人才招引新高地。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2.1.3建立人才实训课程体系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优化服务育人才，积极探索人才培养新模式，搭建人才培养平台，健全和完善人才实训课程体系，为高品质人才提供创业辅导、技术培训、资源对接等孵化工作。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2.2服务要求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2.2.1人才孵化实训基地要求实际运营时间半年以上，具有专业发展方向，服务于孵化高品质人才和团队。运营管理机构或社会组织须是在本省注册的独立法人，也可以是依托上述组织成立的相对独立的机构。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2.2.2开展高品质人才招引工作要求围绕寿安镇农旅文创发展定位，满足在地产业发展需求，有针对性地开展人才招引工作，招引培育“农创客”（愿意到乡村就业创业的人才）“主理人”（有运营能力、资金实力的企业家）“智囊团”（有情怀有热情的高校专家学者）“新农人”（有技术、爱农村的广大青年）等四类人才，通过“抱团发展”“创新孵化”“校地合作”“内培外育”等方式，实现引进一批人才、发展一批企业、带动一方富裕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2.2.3建立人才实训课程体系要求汇总整合乡村振兴教育资源，建立资源库，形成课程体系，为课程的持续打造提供基本保障，形成寿安人才学习的稳定渠道和平台，打造寿安乡村振兴人才培养精品项目。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2.3其他要求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3.商务要求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3.1服务期限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服务期限一年，从合同签订日起算。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3.2服务地点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寿安镇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3.3验收标准和方法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.1打造人才孵化实训基地要求发展方向明确、模式清晰，具备可持续发展能力，设立专门运营管理机构，且运营时间超过6个月，拥有不低于400m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的服务场地。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2开展高品质人才招引工作要求开展不少于5次的交流会、共创会、推介会等招引活动，引入多村主理人团队5个，入驻数字游民200 余人;与专家教授结对，引导高校人才参与建设乡村振兴项目10余个;与高校学生共创共研，培育花木技工 1000余人。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3.3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建立人才实训课程体系要求制定一套全面的实训计划，涵盖乡村振兴政策解读、实地考察、项目策划等方面；培育一批乡村振兴人才，具备实际操作经验和解决问题的能力。形成一套可复制、可推广的人才培养模式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3.4支付方式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分期付款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3.5支付约定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完成合同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签订并收到项目实施单位提供的发票后，根据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合同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按程序兑现立项项目启动资金（不超过拟资助金额的50%）；项目完成并验收合格后收到项目实施单位提供的发票后，按程序兑现剩余资金（资助总额不超过经审定的拟资助金额）。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3.6违约责任及解决争议的方法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3.6</w:t>
      </w: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发包单位和项目实施单位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必须遵守本合同并执行合同中的各项规定，保证本合同的正常履行。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3.6</w:t>
      </w: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如因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项目实施单位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工作人员在履行职务过程中的疏忽、失职、过错等故意或者过失原因给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发包单位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造成损失或侵害，包括但不限于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发包单位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本身的财产损失、由此而导致的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发包单位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对任何第三方的法律责任等，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项目实施单位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对此均应承担全部的赔偿责任。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4.评分标准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本次评审活动采用综合评分法进行评分，得分最高报名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为项目实施单位，具体评分标准如下：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 xml:space="preserve"> </w:t>
      </w:r>
    </w:p>
    <w:tbl>
      <w:tblPr>
        <w:tblStyle w:val="4"/>
        <w:tblW w:w="96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423"/>
        <w:gridCol w:w="845"/>
        <w:gridCol w:w="5432"/>
        <w:gridCol w:w="11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tblHeader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5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评分说明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28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报价20%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  <w:t>20分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满足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立项需求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且响应价格最低的报价为基准价，其价格分为满分。其他申请人的价格分统一按照下列公式计算：报价得分=(基准价／报价)*20分。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28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建设方案50%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50分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针对本项目制定的计划方案完整、科学、可行，组织机构完整、职责明确，施工组织安排合理、科学、可行，计划方案给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发包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人的正常运营带来的影响提供了详细的解决方案，得15-20分；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针对本项目制定的计划方案较为完整、可行，组织机构较为完整，组织实施安排较为合理、可行，得10-20分；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针对本项目制定的服务方案欠妥，评定为不可行，得5-10分；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未提供针对本项目制定的施工方案，不得分。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28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质量管理体系与措施20%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20分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针对本项目制定的质量管理体系与措施完善、周密、科学，重要部位控制措施详尽、科学、可行，质量管理组织机构完整、职责明确；售后维护及时、周到完善，得15-20分；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针对本项目制定的质量管理体系与措施较为完善、较为周密，重要部位控制措施可行，质量管理组织机构较为完整；售后维护准时、周到，得10-15分；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针对本项目制定的质量管理体系与措施欠妥，售后维护不及时，得5-10分；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报名单位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未提供针对本项目制定的质量管理体系与措施，无售后维护，不得分。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28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履约能力证明10%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10分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已完成1个类似业绩得5分；每增加一个得2.5分，最多得10分。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>证明材料:提供合同复印件加盖单位公章。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2098" w:right="1531" w:bottom="1928" w:left="153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clear" w:pos="4153"/>
        <w:tab w:val="clear" w:pos="8306"/>
      </w:tabs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2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  <w:p/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1025" o:spid="_x0000_s1026" o:spt="1" style="position:absolute;left:0pt;margin-top:0pt;height:18.15pt;width:49.05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IUbXRDVAAAAAwEAAA8AAABkcnMvZG93bnJldi54bWxNj0FLw0AQhe+F/odl&#10;BG/tJhZKErMpUpV61Fao3rbZMQnuzobstKn+etde9DLweI/3vilXZ2fFCYfQeVKQzhMQSLU3HTUK&#10;XnePswxEYE1GW0+o4AsDrKrppNSF8SO94GnLjYglFAqtoGXuCylD3aLTYe57pOh9+MFpjnJopBn0&#10;GMudlTdJspROdxQXWt3jusX6c3t0CjZZf/f25L/Hxj68b/bP+/x+l7NS11dpcguC8cx/YfjFj+hQ&#10;RaaDP5IJwiqIj/DlRi/PUhAHBYvlAmRVyv/s1Q9QSwMEFAAAAAgAh07iQOCOlB20AQAAdAMAAA4A&#10;AABkcnMvZTJvRG9jLnhtbK1TTW/bMAy9D+h/EHRv7LhIsRlxemjQYcDQFeh2LhRZigVYHyOV2Omv&#10;HyU76dBdepgP8pNFPfI90uu70fbsqACNdw1fLkrOlJO+NW7f8F8/H64/c4ZRuFb03qmGnxTyu83V&#10;p/UQalX5zvetAkYkDushNLyLMdRFgbJTVuDCB+XoUHuwItIW9kULYiB22xdVWd4Wg4c2gJcKkb5u&#10;p0M+M8JHCL3WRqqtlwerXJxYQfUikiTsTEC+ydVqrWT8oTWqyPqGk9KYV0pCeJfWYrMW9R5E6Iyc&#10;SxAfKeGdJiuMo6QXqq2Igh3A/ENljQSPXseF9LaYhGRHSMWyfOfNcyeCylrIagwX0/H/0crH4xMw&#10;09IkcOaEpYa/jCU9L7gsq1XyZwhYU9hzeIJ5hwST2FGDTW+Swcbs6eniqRojk/Txtqq+3Kw4k3RU&#10;3ZSrMnMWb5cDYPyqvGUJNByoZdlJcfyOkRJS6DmENqmYKX1CcdyNc007355ICfipxTTgBDoPr5wN&#10;1N6G4++DAMVZ/82Rf2kWzgDOYHcGwkm62vDI2QTvY56ZVE7KS83Ihc2Dk7r99z5Hvf0sm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BQAAAAIAIdO4kCKFGY80QAAAJQBAAALAAAAAAAAAAEAIAAA&#10;AD4DAABfcmVscy8ucmVsc1BLAQIUAAoAAAAAAIdO4kAAAAAAAAAAAAAAAAAGAAAAAAAAAAAAEAAA&#10;ABoDAABfcmVscy9QSwECFAAKAAAAAACHTuJAAAAAAAAAAAAAAAAABAAAAAAAAAAAABAAAAAWAAAA&#10;ZHJzL1BLAQIUABQAAAAIAIdO4kDgjpQdtAEAAHQDAAAOAAAAAAAAAAEAIAAAADoBAABkcnMvZTJv&#10;RG9jLnhtbFBLAQIUABQAAAAIAIdO4kCFG10Q1QAAAAMBAAAPAAAAAAAAAAEAIAAAADgAAABkcnMv&#10;ZG93bnJldi54bWxQSwUGAAAAAAYABgBZAQAAY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12"/>
                      <w:tabs>
                        <w:tab w:val="clear" w:pos="4153"/>
                        <w:tab w:val="clear" w:pos="8306"/>
                      </w:tabs>
                      <w:rPr>
                        <w:rFonts w:hint="eastAsia" w:ascii="宋体" w:hAnsi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t xml:space="preserve"> —</w:t>
                    </w:r>
                  </w:p>
                  <w:p/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F1C10"/>
    <w:multiLevelType w:val="multilevel"/>
    <w:tmpl w:val="EDFF1C10"/>
    <w:lvl w:ilvl="0" w:tentative="0">
      <w:start w:val="1"/>
      <w:numFmt w:val="decimal"/>
      <w:lvlText w:val="%1."/>
      <w:lvlJc w:val="left"/>
      <w:pPr>
        <w:ind w:left="1000" w:firstLine="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520" w:firstLine="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960" w:firstLine="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400" w:firstLine="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840" w:firstLine="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280" w:firstLine="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720" w:firstLine="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4160" w:firstLine="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600" w:firstLine="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E4BEF"/>
    <w:rsid w:val="0DBD7EDD"/>
    <w:rsid w:val="13F7BC32"/>
    <w:rsid w:val="2FB2AF97"/>
    <w:rsid w:val="33EC6D79"/>
    <w:rsid w:val="36F3269C"/>
    <w:rsid w:val="383FCC9C"/>
    <w:rsid w:val="3BFD0463"/>
    <w:rsid w:val="3DE75CAE"/>
    <w:rsid w:val="3F7F0A1F"/>
    <w:rsid w:val="47DED19E"/>
    <w:rsid w:val="4FFBAB47"/>
    <w:rsid w:val="56775334"/>
    <w:rsid w:val="5DF762FF"/>
    <w:rsid w:val="5DF98BDF"/>
    <w:rsid w:val="5E7B778C"/>
    <w:rsid w:val="65DF0E1E"/>
    <w:rsid w:val="67BB4229"/>
    <w:rsid w:val="6B5F4FB7"/>
    <w:rsid w:val="6BED9753"/>
    <w:rsid w:val="6FBF3394"/>
    <w:rsid w:val="6FFBB8BD"/>
    <w:rsid w:val="6FFBEB5A"/>
    <w:rsid w:val="77E68A40"/>
    <w:rsid w:val="7A972660"/>
    <w:rsid w:val="7ABF001D"/>
    <w:rsid w:val="7DF718F5"/>
    <w:rsid w:val="7EDF907C"/>
    <w:rsid w:val="8FB5628B"/>
    <w:rsid w:val="AA9F4CFB"/>
    <w:rsid w:val="ADD77178"/>
    <w:rsid w:val="ADEDFF05"/>
    <w:rsid w:val="AFFB883A"/>
    <w:rsid w:val="B5665860"/>
    <w:rsid w:val="BA6F85F6"/>
    <w:rsid w:val="BB6E95B7"/>
    <w:rsid w:val="BC780E5A"/>
    <w:rsid w:val="BDB7EC79"/>
    <w:rsid w:val="BEE9FBDF"/>
    <w:rsid w:val="BEECC83A"/>
    <w:rsid w:val="CDEDFAD8"/>
    <w:rsid w:val="CFDA13A0"/>
    <w:rsid w:val="D1FA555B"/>
    <w:rsid w:val="D35D56F7"/>
    <w:rsid w:val="D6ECC00D"/>
    <w:rsid w:val="DAFF9943"/>
    <w:rsid w:val="DBB936EE"/>
    <w:rsid w:val="DCF6DCC2"/>
    <w:rsid w:val="DF3F5B48"/>
    <w:rsid w:val="E3BF3DE7"/>
    <w:rsid w:val="ECF7307A"/>
    <w:rsid w:val="F97B9B57"/>
    <w:rsid w:val="FB7DB34D"/>
    <w:rsid w:val="FB7ECD32"/>
    <w:rsid w:val="FC7FB8C6"/>
    <w:rsid w:val="FDBF933D"/>
    <w:rsid w:val="FFEB8E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Normal (Web)"/>
    <w:basedOn w:val="1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paragraph" w:customStyle="1" w:styleId="6">
    <w:name w:val="标题 11"/>
    <w:basedOn w:val="1"/>
    <w:link w:val="9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character" w:customStyle="1" w:styleId="9">
    <w:name w:val="标题 1 字符"/>
    <w:link w:val="6"/>
    <w:qFormat/>
    <w:uiPriority w:val="0"/>
    <w:rPr>
      <w:rFonts w:ascii="宋体" w:hAnsi="宋体"/>
      <w:b/>
      <w:bCs/>
      <w:kern w:val="36"/>
      <w:sz w:val="48"/>
      <w:szCs w:val="48"/>
    </w:rPr>
  </w:style>
  <w:style w:type="paragraph" w:customStyle="1" w:styleId="10">
    <w:name w:val="无间隔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页眉1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2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2024-01-19T02:21:00Z</dcterms:created>
  <dc:creator>qhtf</dc:creator>
  <cp:lastModifiedBy>w004</cp:lastModifiedBy>
  <cp:lastPrinted>2024-02-28T17:43:00Z</cp:lastPrinted>
  <dcterms:modified xsi:type="dcterms:W3CDTF">2024-03-01T11:07:21Z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DF5F1AFD5D809186AF7AAF65A84EFFE0</vt:lpwstr>
  </property>
</Properties>
</file>