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r>
        <w:rPr>
          <w:rFonts w:hint="default" w:ascii="Times New Roman" w:hAnsi="Times New Roman" w:eastAsia="黑体" w:cs="Times New Roman"/>
          <w:sz w:val="32"/>
          <w:szCs w:val="32"/>
          <w:lang w:val="en-US" w:eastAsia="zh-CN"/>
        </w:rPr>
        <w:t>1</w:t>
      </w:r>
    </w:p>
    <w:p>
      <w:pPr>
        <w:adjustRightInd w:val="0"/>
        <w:snapToGrid w:val="0"/>
        <w:jc w:val="center"/>
        <w:rPr>
          <w:rFonts w:hint="eastAsia" w:eastAsia="方正小标宋简体"/>
          <w:sz w:val="44"/>
          <w:szCs w:val="44"/>
        </w:rPr>
      </w:pPr>
    </w:p>
    <w:p>
      <w:pPr>
        <w:adjustRightInd w:val="0"/>
        <w:snapToGrid w:val="0"/>
        <w:jc w:val="center"/>
        <w:rPr>
          <w:rFonts w:hint="eastAsia" w:eastAsia="方正小标宋简体"/>
          <w:sz w:val="26"/>
          <w:szCs w:val="44"/>
        </w:rPr>
      </w:pPr>
    </w:p>
    <w:p>
      <w:pPr>
        <w:adjustRightInd w:val="0"/>
        <w:snapToGrid w:val="0"/>
        <w:ind w:firstLine="6080" w:firstLineChars="1900"/>
      </w:pPr>
      <w:r>
        <w:rPr>
          <w:rFonts w:hint="eastAsia"/>
        </w:rPr>
        <w:t>〔2024〕W-</w:t>
      </w:r>
      <w:r>
        <w:rPr>
          <w:rFonts w:hint="eastAsia"/>
          <w:lang w:val="en-US" w:eastAsia="zh-CN"/>
        </w:rPr>
        <w:t>9</w:t>
      </w:r>
      <w:r>
        <w:rPr>
          <w:rFonts w:hint="eastAsia"/>
        </w:rPr>
        <w:t>号</w:t>
      </w:r>
    </w:p>
    <w:p>
      <w:pPr>
        <w:adjustRightInd w:val="0"/>
        <w:snapToGrid w:val="0"/>
        <w:jc w:val="center"/>
        <w:rPr>
          <w:rFonts w:hint="eastAsia" w:eastAsia="方正小标宋简体"/>
          <w:sz w:val="44"/>
          <w:szCs w:val="44"/>
        </w:rPr>
      </w:pPr>
    </w:p>
    <w:p>
      <w:pPr>
        <w:topLinePunct/>
        <w:adjustRightInd w:val="0"/>
        <w:snapToGrid w:val="0"/>
        <w:jc w:val="center"/>
        <w:rPr>
          <w:rFonts w:eastAsia="方正小标宋简体"/>
          <w:sz w:val="44"/>
          <w:szCs w:val="44"/>
        </w:rPr>
      </w:pPr>
      <w:r>
        <w:rPr>
          <w:rFonts w:eastAsia="方正小标宋简体"/>
          <w:sz w:val="44"/>
          <w:szCs w:val="44"/>
        </w:rPr>
        <w:t>成都市经济和信息化局</w:t>
      </w:r>
    </w:p>
    <w:p>
      <w:pPr>
        <w:topLinePunct/>
        <w:adjustRightInd w:val="0"/>
        <w:snapToGrid w:val="0"/>
        <w:jc w:val="center"/>
        <w:rPr>
          <w:rFonts w:hint="eastAsia" w:eastAsia="方正小标宋简体"/>
          <w:sz w:val="44"/>
          <w:szCs w:val="44"/>
        </w:rPr>
      </w:pPr>
      <w:r>
        <w:rPr>
          <w:rFonts w:eastAsia="方正小标宋简体"/>
          <w:sz w:val="44"/>
          <w:szCs w:val="44"/>
        </w:rPr>
        <w:t>关于组织开展四川省制造业智能化改造</w:t>
      </w:r>
    </w:p>
    <w:p>
      <w:pPr>
        <w:topLinePunct/>
        <w:adjustRightInd w:val="0"/>
        <w:snapToGrid w:val="0"/>
        <w:jc w:val="center"/>
        <w:rPr>
          <w:rFonts w:hint="eastAsia" w:eastAsia="方正小标宋简体"/>
          <w:sz w:val="44"/>
          <w:szCs w:val="44"/>
        </w:rPr>
      </w:pPr>
      <w:r>
        <w:rPr>
          <w:rFonts w:eastAsia="方正小标宋简体"/>
          <w:sz w:val="44"/>
          <w:szCs w:val="44"/>
        </w:rPr>
        <w:t>数字化转型供应商</w:t>
      </w:r>
      <w:r>
        <w:rPr>
          <w:rFonts w:hint="eastAsia" w:eastAsia="方正小标宋简体"/>
          <w:sz w:val="44"/>
          <w:szCs w:val="44"/>
        </w:rPr>
        <w:t>征集</w:t>
      </w:r>
      <w:r>
        <w:rPr>
          <w:rFonts w:eastAsia="方正小标宋简体"/>
          <w:sz w:val="44"/>
          <w:szCs w:val="44"/>
        </w:rPr>
        <w:t>工作的通知</w:t>
      </w:r>
    </w:p>
    <w:p>
      <w:pPr>
        <w:widowControl w:val="0"/>
        <w:topLinePunct/>
        <w:adjustRightInd w:val="0"/>
        <w:snapToGrid w:val="0"/>
        <w:spacing w:after="0"/>
        <w:jc w:val="center"/>
        <w:rPr>
          <w:rFonts w:hint="eastAsia" w:ascii="Times New Roman" w:hAnsi="Times New Roman" w:eastAsia="方正仿宋简体" w:cs="Times New Roman"/>
          <w:kern w:val="2"/>
          <w:sz w:val="32"/>
          <w:szCs w:val="32"/>
          <w:lang w:val="en-US" w:eastAsia="zh-CN" w:bidi="ar-SA"/>
        </w:rPr>
      </w:pPr>
    </w:p>
    <w:p>
      <w:pPr>
        <w:adjustRightInd w:val="0"/>
        <w:snapToGrid w:val="0"/>
        <w:spacing w:line="300" w:lineRule="auto"/>
        <w:rPr>
          <w:color w:val="000000"/>
        </w:rPr>
      </w:pPr>
      <w:r>
        <w:rPr>
          <w:color w:val="000000"/>
        </w:rPr>
        <w:t>各区（市）县工业和信息化主管部门：</w:t>
      </w:r>
    </w:p>
    <w:p>
      <w:pPr>
        <w:adjustRightInd w:val="0"/>
        <w:snapToGrid w:val="0"/>
        <w:spacing w:line="300" w:lineRule="auto"/>
        <w:ind w:firstLine="640" w:firstLineChars="200"/>
        <w:rPr>
          <w:rFonts w:hint="eastAsia"/>
          <w:color w:val="000000"/>
        </w:rPr>
      </w:pPr>
      <w:r>
        <w:rPr>
          <w:color w:val="000000"/>
        </w:rPr>
        <w:t>为强化全省制造业智能化改造数字化转型（简称“智改数转”）服务和产品供给，培育壮大优质供应商队伍，助力制造业智能化改造数字化转型加快实施，按照《四川省经济和信息化厅办公室关于征集四川省制造业智能化改造数字化转型供应商的通知》（川经信办函〔2023〕423号）要求，现就</w:t>
      </w:r>
      <w:r>
        <w:rPr>
          <w:rFonts w:hint="eastAsia"/>
          <w:color w:val="000000"/>
        </w:rPr>
        <w:t>我市范围内的征集工作有</w:t>
      </w:r>
      <w:r>
        <w:rPr>
          <w:color w:val="000000"/>
        </w:rPr>
        <w:t>关事项通知如下：</w:t>
      </w:r>
    </w:p>
    <w:p>
      <w:pPr>
        <w:adjustRightInd w:val="0"/>
        <w:snapToGrid w:val="0"/>
        <w:spacing w:line="300" w:lineRule="auto"/>
        <w:ind w:firstLine="640" w:firstLineChars="200"/>
        <w:rPr>
          <w:rFonts w:hint="eastAsia" w:eastAsia="方正黑体简体" w:cs="黑体"/>
          <w:color w:val="000000"/>
        </w:rPr>
      </w:pPr>
      <w:r>
        <w:rPr>
          <w:rFonts w:hint="eastAsia" w:eastAsia="方正黑体简体" w:cs="黑体"/>
          <w:color w:val="000000"/>
        </w:rPr>
        <w:t>一、基本条件</w:t>
      </w:r>
    </w:p>
    <w:p>
      <w:pPr>
        <w:adjustRightInd w:val="0"/>
        <w:snapToGrid w:val="0"/>
        <w:spacing w:line="300" w:lineRule="auto"/>
        <w:ind w:firstLine="640" w:firstLineChars="200"/>
        <w:rPr>
          <w:color w:val="000000"/>
        </w:rPr>
      </w:pPr>
      <w:r>
        <w:rPr>
          <w:rFonts w:hint="eastAsia" w:cs="楷体_GB2312"/>
          <w:color w:val="000000"/>
        </w:rPr>
        <w:t>（一）</w:t>
      </w:r>
      <w:r>
        <w:rPr>
          <w:color w:val="000000"/>
        </w:rPr>
        <w:t>申报主体应为在成都市内注册，依法纳税，具有独立法人资格，运营和财务状况良好，具有良好的社会信用。</w:t>
      </w:r>
    </w:p>
    <w:p>
      <w:pPr>
        <w:adjustRightInd w:val="0"/>
        <w:snapToGrid w:val="0"/>
        <w:spacing w:line="300" w:lineRule="auto"/>
        <w:ind w:firstLine="640" w:firstLineChars="200"/>
        <w:rPr>
          <w:color w:val="000000"/>
        </w:rPr>
      </w:pPr>
      <w:r>
        <w:rPr>
          <w:rFonts w:hint="eastAsia" w:cs="楷体_GB2312"/>
          <w:color w:val="000000"/>
        </w:rPr>
        <w:t>（二）</w:t>
      </w:r>
      <w:r>
        <w:rPr>
          <w:color w:val="000000"/>
        </w:rPr>
        <w:t>具有较强的本地化服务能力，服务团队的人员数量和构成相对稳定，在四川省内的技术服务团队人员不少于5人，能够持续稳定提供高质量服务。</w:t>
      </w:r>
    </w:p>
    <w:p>
      <w:pPr>
        <w:adjustRightInd w:val="0"/>
        <w:snapToGrid w:val="0"/>
        <w:spacing w:line="300" w:lineRule="auto"/>
        <w:ind w:firstLine="640" w:firstLineChars="200"/>
        <w:rPr>
          <w:color w:val="000000"/>
        </w:rPr>
      </w:pPr>
      <w:r>
        <w:rPr>
          <w:rFonts w:hint="eastAsia" w:cs="楷体_GB2312"/>
          <w:color w:val="000000"/>
        </w:rPr>
        <w:t>（三）</w:t>
      </w:r>
      <w:r>
        <w:rPr>
          <w:color w:val="000000"/>
        </w:rPr>
        <w:t>具有较丰富的行业服务经验，熟悉行业相关服务标准和规范，具备较强的技术研发和融合创新能力，已面向细分行业、工业企业提供服务且取得良好成效，技术水平、服务能力在同行业中处于领先地位。</w:t>
      </w:r>
    </w:p>
    <w:p>
      <w:pPr>
        <w:adjustRightInd w:val="0"/>
        <w:snapToGrid w:val="0"/>
        <w:spacing w:line="300" w:lineRule="auto"/>
        <w:ind w:firstLine="640" w:firstLineChars="200"/>
        <w:rPr>
          <w:color w:val="000000"/>
        </w:rPr>
      </w:pPr>
      <w:r>
        <w:rPr>
          <w:rFonts w:hint="eastAsia" w:cs="楷体_GB2312"/>
          <w:color w:val="000000"/>
        </w:rPr>
        <w:t>（四）</w:t>
      </w:r>
      <w:r>
        <w:rPr>
          <w:color w:val="000000"/>
        </w:rPr>
        <w:t>积极开展数字化转型相关服务，遵守服务工作相关规范，对服务内容和工作流程能够细致、正确的解读宣贯。</w:t>
      </w:r>
    </w:p>
    <w:p>
      <w:pPr>
        <w:adjustRightInd w:val="0"/>
        <w:snapToGrid w:val="0"/>
        <w:spacing w:line="300" w:lineRule="auto"/>
        <w:ind w:firstLine="640" w:firstLineChars="200"/>
        <w:rPr>
          <w:color w:val="000000"/>
        </w:rPr>
      </w:pPr>
      <w:r>
        <w:rPr>
          <w:rFonts w:hint="eastAsia" w:cs="楷体_GB2312"/>
          <w:color w:val="000000"/>
        </w:rPr>
        <w:t>（五）</w:t>
      </w:r>
      <w:r>
        <w:rPr>
          <w:color w:val="000000"/>
        </w:rPr>
        <w:t>遵守国家安全生产、环境保护等方面的法律法规，近3年未发生重大安全、环保、质量事故。</w:t>
      </w:r>
    </w:p>
    <w:p>
      <w:pPr>
        <w:adjustRightInd w:val="0"/>
        <w:snapToGrid w:val="0"/>
        <w:spacing w:line="300" w:lineRule="auto"/>
        <w:ind w:firstLine="640" w:firstLineChars="200"/>
        <w:rPr>
          <w:rFonts w:hint="eastAsia" w:eastAsia="方正黑体简体" w:cs="黑体"/>
          <w:color w:val="000000"/>
        </w:rPr>
      </w:pPr>
      <w:r>
        <w:rPr>
          <w:rFonts w:hint="eastAsia" w:eastAsia="方正黑体简体" w:cs="黑体"/>
          <w:color w:val="000000"/>
        </w:rPr>
        <w:t>二、申报方向</w:t>
      </w:r>
    </w:p>
    <w:p>
      <w:pPr>
        <w:adjustRightInd w:val="0"/>
        <w:snapToGrid w:val="0"/>
        <w:spacing w:line="300" w:lineRule="auto"/>
        <w:ind w:firstLine="640" w:firstLineChars="200"/>
        <w:rPr>
          <w:rFonts w:hint="eastAsia" w:eastAsia="方正楷体简体" w:cs="楷体_GB2312"/>
          <w:color w:val="000000"/>
        </w:rPr>
      </w:pPr>
      <w:r>
        <w:rPr>
          <w:rFonts w:hint="eastAsia" w:eastAsia="方正楷体简体" w:cs="楷体_GB2312"/>
          <w:color w:val="000000"/>
        </w:rPr>
        <w:t>（一）数字化基础设施类</w:t>
      </w:r>
    </w:p>
    <w:p>
      <w:pPr>
        <w:adjustRightInd w:val="0"/>
        <w:snapToGrid w:val="0"/>
        <w:spacing w:line="300" w:lineRule="auto"/>
        <w:ind w:firstLine="640" w:firstLineChars="200"/>
        <w:rPr>
          <w:color w:val="000000"/>
        </w:rPr>
      </w:pPr>
      <w:r>
        <w:rPr>
          <w:color w:val="000000"/>
        </w:rPr>
        <w:t>1.网络供应商。提供工业生产和控制网络建设、改造和运营等服务，包括但不限于工业互联网</w:t>
      </w:r>
      <w:r>
        <w:rPr>
          <w:rFonts w:hint="eastAsia"/>
          <w:color w:val="000000"/>
        </w:rPr>
        <w:t>标识解析，</w:t>
      </w:r>
      <w:r>
        <w:rPr>
          <w:color w:val="000000"/>
        </w:rPr>
        <w:t>内网、外网建设运营</w:t>
      </w:r>
      <w:r>
        <w:rPr>
          <w:rFonts w:hint="eastAsia"/>
          <w:color w:val="000000"/>
        </w:rPr>
        <w:t>，</w:t>
      </w:r>
      <w:r>
        <w:rPr>
          <w:color w:val="000000"/>
        </w:rPr>
        <w:t>5G+和物联网解决方案等。</w:t>
      </w:r>
    </w:p>
    <w:p>
      <w:pPr>
        <w:adjustRightInd w:val="0"/>
        <w:snapToGrid w:val="0"/>
        <w:spacing w:line="300" w:lineRule="auto"/>
        <w:ind w:firstLine="640" w:firstLineChars="200"/>
        <w:rPr>
          <w:color w:val="000000"/>
        </w:rPr>
      </w:pPr>
      <w:r>
        <w:rPr>
          <w:color w:val="000000"/>
        </w:rPr>
        <w:t>2.云供应商。提供企业上云及存储算力、服务器租赁等服务，包括公有云、私有云、混合云等上云解决方案，以及基础设施服务（IaaS）、平台服务（PaaS）、云软件服务（SaaS）等相关服务。</w:t>
      </w:r>
    </w:p>
    <w:p>
      <w:pPr>
        <w:adjustRightInd w:val="0"/>
        <w:snapToGrid w:val="0"/>
        <w:spacing w:line="300" w:lineRule="auto"/>
        <w:ind w:firstLine="640" w:firstLineChars="200"/>
        <w:rPr>
          <w:color w:val="000000"/>
        </w:rPr>
      </w:pPr>
      <w:r>
        <w:rPr>
          <w:color w:val="000000"/>
        </w:rPr>
        <w:t>3.平台供应商。提供工业互联网平台接入、工业大数据、工业APP开发和运行环境等相关服务，包括但不限于综合型（跨行业跨领域）平台、区域特色型平台、行业特色型平台、专业型平台。</w:t>
      </w:r>
    </w:p>
    <w:p>
      <w:pPr>
        <w:adjustRightInd w:val="0"/>
        <w:snapToGrid w:val="0"/>
        <w:spacing w:line="300" w:lineRule="auto"/>
        <w:ind w:firstLine="640" w:firstLineChars="200"/>
        <w:rPr>
          <w:rFonts w:hint="eastAsia" w:eastAsia="方正楷体简体" w:cs="楷体_GB2312"/>
          <w:color w:val="000000"/>
        </w:rPr>
      </w:pPr>
      <w:r>
        <w:rPr>
          <w:rFonts w:eastAsia="方正楷体简体" w:cs="楷体_GB2312"/>
          <w:color w:val="000000"/>
        </w:rPr>
        <w:t>（二）数字化创新应用类</w:t>
      </w:r>
    </w:p>
    <w:p>
      <w:pPr>
        <w:adjustRightInd w:val="0"/>
        <w:snapToGrid w:val="0"/>
        <w:spacing w:line="300" w:lineRule="auto"/>
        <w:ind w:firstLine="640" w:firstLineChars="200"/>
        <w:rPr>
          <w:color w:val="000000"/>
        </w:rPr>
      </w:pPr>
      <w:r>
        <w:rPr>
          <w:color w:val="000000"/>
        </w:rPr>
        <w:t>4.智能装备供应商。提供智能制造装备与解决方案，包括但不限于工业机器人、数控机床、智能传感与控制、智能检测与装配、智能仓储与物流、数字化集成工位等装备，以及系统实现自动化、数字化、网络化和智能化生产线、车间、工厂集成应用服务的供应商。</w:t>
      </w:r>
    </w:p>
    <w:p>
      <w:pPr>
        <w:adjustRightInd w:val="0"/>
        <w:snapToGrid w:val="0"/>
        <w:spacing w:line="300" w:lineRule="auto"/>
        <w:ind w:firstLine="640" w:firstLineChars="200"/>
        <w:rPr>
          <w:color w:val="000000"/>
        </w:rPr>
      </w:pPr>
      <w:r>
        <w:rPr>
          <w:color w:val="000000"/>
        </w:rPr>
        <w:t>5.工业软件供应商。提供研发设计类、生产控制类、经营管理类、运营维护类等部分或整体工业软件解决方案和产品，包括但不限于计算机辅助设计（CAD）、计算机辅助工程（CAE）、企业资源计划（ERP）、生产执行系统（MES）、供应链管理（SCM）、产品全生命周期管理（PLM）、仓储物流管理（WMS）、质量管理系统（QMS）、数据采集与监视控制系统（SCADA）、商业智能（BI）、分布式控制系统（DCS）、操作系统、数据库、虚拟现实与数字孪生等软件和服务。</w:t>
      </w:r>
    </w:p>
    <w:p>
      <w:pPr>
        <w:adjustRightInd w:val="0"/>
        <w:snapToGrid w:val="0"/>
        <w:spacing w:line="300" w:lineRule="auto"/>
        <w:ind w:firstLine="640" w:firstLineChars="200"/>
        <w:rPr>
          <w:color w:val="000000"/>
        </w:rPr>
      </w:pPr>
      <w:r>
        <w:rPr>
          <w:color w:val="000000"/>
        </w:rPr>
        <w:t>6.数字化转型技术供应商。提供大数据、元宇宙、人工智能等技术供给，以及智能化改造升级、信息系统集成等产品和解决方案，包括数据采集、数据治理、数据分析建模等数据应用，垂直领域大模型、机器学习、自然语言处理、计算机视觉、语音识别、智能推荐等人工智能技术应用，智能交互、数字人、数字内容创作等元宇宙技术应用，以及对转型实施过程进行整体把控的信息系统集成服务等。</w:t>
      </w:r>
    </w:p>
    <w:p>
      <w:pPr>
        <w:adjustRightInd w:val="0"/>
        <w:snapToGrid w:val="0"/>
        <w:spacing w:line="300" w:lineRule="auto"/>
        <w:ind w:firstLine="640" w:firstLineChars="200"/>
        <w:rPr>
          <w:rFonts w:hint="eastAsia" w:eastAsia="方正楷体简体" w:cs="楷体_GB2312"/>
          <w:color w:val="000000"/>
        </w:rPr>
      </w:pPr>
      <w:r>
        <w:rPr>
          <w:rFonts w:eastAsia="方正楷体简体" w:cs="楷体_GB2312"/>
          <w:color w:val="000000"/>
        </w:rPr>
        <w:t>（三）数字化安全保障类</w:t>
      </w:r>
    </w:p>
    <w:p>
      <w:pPr>
        <w:adjustRightInd w:val="0"/>
        <w:snapToGrid w:val="0"/>
        <w:spacing w:line="300" w:lineRule="auto"/>
        <w:ind w:firstLine="640" w:firstLineChars="200"/>
        <w:rPr>
          <w:color w:val="000000"/>
        </w:rPr>
      </w:pPr>
      <w:r>
        <w:rPr>
          <w:color w:val="000000"/>
        </w:rPr>
        <w:t>7.信息安全供应商。提供工业网络安全和数据安全风险评估、安全监测、应急响应、安全运维、安全防护、安全保险以及数据分类分级、数据安全治理、数据安全流通等相关产品与服务。</w:t>
      </w:r>
    </w:p>
    <w:p>
      <w:pPr>
        <w:adjustRightInd w:val="0"/>
        <w:snapToGrid w:val="0"/>
        <w:spacing w:line="300" w:lineRule="auto"/>
        <w:ind w:firstLine="640" w:firstLineChars="200"/>
        <w:rPr>
          <w:rFonts w:hint="eastAsia" w:eastAsia="方正楷体简体" w:cs="楷体_GB2312"/>
          <w:color w:val="000000"/>
        </w:rPr>
      </w:pPr>
      <w:r>
        <w:rPr>
          <w:rFonts w:eastAsia="方正楷体简体" w:cs="楷体_GB2312"/>
          <w:color w:val="000000"/>
        </w:rPr>
        <w:t>（四）数字化转型服务类</w:t>
      </w:r>
    </w:p>
    <w:p>
      <w:pPr>
        <w:adjustRightInd w:val="0"/>
        <w:snapToGrid w:val="0"/>
        <w:spacing w:line="300" w:lineRule="auto"/>
        <w:ind w:firstLine="640" w:firstLineChars="200"/>
        <w:rPr>
          <w:color w:val="000000"/>
        </w:rPr>
      </w:pPr>
      <w:r>
        <w:rPr>
          <w:color w:val="000000"/>
        </w:rPr>
        <w:t>8.技术咨询供应商。提供战略规划、数字化转型咨询、诊断评估、路径设计、标准贯彻、科技成果转化、监理服务、检验检测等技术咨询和服务。</w:t>
      </w:r>
    </w:p>
    <w:p>
      <w:pPr>
        <w:adjustRightInd w:val="0"/>
        <w:snapToGrid w:val="0"/>
        <w:spacing w:line="300" w:lineRule="auto"/>
        <w:ind w:firstLine="640" w:firstLineChars="200"/>
        <w:rPr>
          <w:color w:val="000000"/>
        </w:rPr>
      </w:pPr>
      <w:r>
        <w:rPr>
          <w:color w:val="000000"/>
        </w:rPr>
        <w:t>9.金融服务供应商。提供针对制造业“智改数转”的贷款、授信、融资租赁等金融类产品和服务。</w:t>
      </w:r>
    </w:p>
    <w:p>
      <w:pPr>
        <w:adjustRightInd w:val="0"/>
        <w:snapToGrid w:val="0"/>
        <w:spacing w:line="300" w:lineRule="auto"/>
        <w:ind w:firstLine="640" w:firstLineChars="200"/>
        <w:rPr>
          <w:color w:val="000000"/>
        </w:rPr>
      </w:pPr>
      <w:r>
        <w:rPr>
          <w:color w:val="000000"/>
        </w:rPr>
        <w:t>10.人才培训供应商。提供针对制造业智能化改造数字化转型人才的培训、实训、实践等服务。</w:t>
      </w:r>
    </w:p>
    <w:p>
      <w:pPr>
        <w:adjustRightInd w:val="0"/>
        <w:snapToGrid w:val="0"/>
        <w:spacing w:line="300" w:lineRule="auto"/>
        <w:ind w:firstLine="640" w:firstLineChars="200"/>
        <w:rPr>
          <w:rFonts w:eastAsia="方正黑体简体" w:cs="黑体"/>
          <w:color w:val="000000"/>
        </w:rPr>
      </w:pPr>
      <w:r>
        <w:rPr>
          <w:rFonts w:eastAsia="方正黑体简体" w:cs="黑体"/>
          <w:color w:val="000000"/>
        </w:rPr>
        <w:t>三、申报条件</w:t>
      </w:r>
    </w:p>
    <w:p>
      <w:pPr>
        <w:adjustRightInd w:val="0"/>
        <w:snapToGrid w:val="0"/>
        <w:spacing w:line="300" w:lineRule="auto"/>
        <w:ind w:firstLine="640" w:firstLineChars="200"/>
        <w:rPr>
          <w:rFonts w:hint="eastAsia" w:eastAsia="方正楷体简体" w:cs="楷体_GB2312"/>
          <w:color w:val="000000"/>
        </w:rPr>
      </w:pPr>
      <w:r>
        <w:rPr>
          <w:rFonts w:eastAsia="方正楷体简体" w:cs="楷体_GB2312"/>
          <w:color w:val="000000"/>
        </w:rPr>
        <w:t>（一）数字化基础设施类</w:t>
      </w:r>
    </w:p>
    <w:p>
      <w:pPr>
        <w:adjustRightInd w:val="0"/>
        <w:snapToGrid w:val="0"/>
        <w:spacing w:line="300" w:lineRule="auto"/>
        <w:ind w:firstLine="640" w:firstLineChars="200"/>
        <w:rPr>
          <w:color w:val="000000"/>
        </w:rPr>
      </w:pPr>
      <w:r>
        <w:rPr>
          <w:color w:val="000000"/>
        </w:rPr>
        <w:t>1.网络供应商。</w:t>
      </w:r>
    </w:p>
    <w:p>
      <w:pPr>
        <w:adjustRightInd w:val="0"/>
        <w:snapToGrid w:val="0"/>
        <w:spacing w:line="300" w:lineRule="auto"/>
        <w:ind w:firstLine="640" w:firstLineChars="200"/>
        <w:rPr>
          <w:color w:val="000000"/>
        </w:rPr>
      </w:pPr>
      <w:r>
        <w:rPr>
          <w:color w:val="000000"/>
        </w:rPr>
        <w:t>（1）围绕制造业办公网络与工业网络需求，能够为企业提供专业的网络设计、部署与保障方案。</w:t>
      </w:r>
    </w:p>
    <w:p>
      <w:pPr>
        <w:adjustRightInd w:val="0"/>
        <w:snapToGrid w:val="0"/>
        <w:spacing w:line="300" w:lineRule="auto"/>
        <w:ind w:firstLine="640" w:firstLineChars="200"/>
        <w:rPr>
          <w:color w:val="000000"/>
        </w:rPr>
      </w:pPr>
      <w:r>
        <w:rPr>
          <w:color w:val="000000"/>
        </w:rPr>
        <w:t>（2）应具备完善的客户服务体系，为企业提供高效、可靠的网络和运维服务。</w:t>
      </w:r>
    </w:p>
    <w:p>
      <w:pPr>
        <w:adjustRightInd w:val="0"/>
        <w:snapToGrid w:val="0"/>
        <w:spacing w:line="300" w:lineRule="auto"/>
        <w:ind w:firstLine="640" w:firstLineChars="200"/>
        <w:rPr>
          <w:color w:val="000000"/>
        </w:rPr>
      </w:pPr>
      <w:r>
        <w:rPr>
          <w:color w:val="000000"/>
        </w:rPr>
        <w:t>2.云供应商。</w:t>
      </w:r>
    </w:p>
    <w:p>
      <w:pPr>
        <w:adjustRightInd w:val="0"/>
        <w:snapToGrid w:val="0"/>
        <w:spacing w:line="300" w:lineRule="auto"/>
        <w:ind w:firstLine="640" w:firstLineChars="200"/>
        <w:rPr>
          <w:color w:val="000000"/>
        </w:rPr>
      </w:pPr>
      <w:r>
        <w:rPr>
          <w:color w:val="000000"/>
        </w:rPr>
        <w:t>（1）围绕企业上云、计算、存储等需求，能够为企业提供云服务器选型、配置和软件部署方案。</w:t>
      </w:r>
    </w:p>
    <w:p>
      <w:pPr>
        <w:adjustRightInd w:val="0"/>
        <w:snapToGrid w:val="0"/>
        <w:spacing w:line="300" w:lineRule="auto"/>
        <w:ind w:firstLine="640" w:firstLineChars="200"/>
        <w:rPr>
          <w:color w:val="000000"/>
        </w:rPr>
      </w:pPr>
      <w:r>
        <w:rPr>
          <w:color w:val="000000"/>
        </w:rPr>
        <w:t>（2）应具备灵活的产品服务体系，为企业提供安全、可靠、可扩展、便捷的云上服务。</w:t>
      </w:r>
    </w:p>
    <w:p>
      <w:pPr>
        <w:adjustRightInd w:val="0"/>
        <w:snapToGrid w:val="0"/>
        <w:spacing w:line="300" w:lineRule="auto"/>
        <w:ind w:firstLine="640" w:firstLineChars="200"/>
        <w:rPr>
          <w:color w:val="000000"/>
        </w:rPr>
      </w:pPr>
      <w:r>
        <w:rPr>
          <w:color w:val="000000"/>
        </w:rPr>
        <w:t>3.平台供应商。</w:t>
      </w:r>
    </w:p>
    <w:p>
      <w:pPr>
        <w:adjustRightInd w:val="0"/>
        <w:snapToGrid w:val="0"/>
        <w:spacing w:line="300" w:lineRule="auto"/>
        <w:ind w:firstLine="640" w:firstLineChars="200"/>
        <w:rPr>
          <w:color w:val="000000"/>
        </w:rPr>
      </w:pPr>
      <w:r>
        <w:rPr>
          <w:color w:val="000000"/>
        </w:rPr>
        <w:t>（1）具有工业互联网平台产品，可根据企业业务需求模块化定制。</w:t>
      </w:r>
    </w:p>
    <w:p>
      <w:pPr>
        <w:adjustRightInd w:val="0"/>
        <w:snapToGrid w:val="0"/>
        <w:spacing w:line="300" w:lineRule="auto"/>
        <w:ind w:firstLine="640" w:firstLineChars="200"/>
        <w:rPr>
          <w:color w:val="000000"/>
        </w:rPr>
      </w:pPr>
      <w:r>
        <w:rPr>
          <w:color w:val="000000"/>
        </w:rPr>
        <w:t>（2）平台具备稳定性、安全性和可扩展性。</w:t>
      </w:r>
    </w:p>
    <w:p>
      <w:pPr>
        <w:adjustRightInd w:val="0"/>
        <w:snapToGrid w:val="0"/>
        <w:spacing w:line="300" w:lineRule="auto"/>
        <w:ind w:firstLine="640" w:firstLineChars="200"/>
        <w:rPr>
          <w:color w:val="000000"/>
        </w:rPr>
      </w:pPr>
      <w:r>
        <w:rPr>
          <w:color w:val="000000"/>
        </w:rPr>
        <w:t>（3）平台具备丰富的应用程序编程接口，能够集成其他第三方的应用程序，用户可根据需求自行扩展和集成业务。</w:t>
      </w:r>
    </w:p>
    <w:p>
      <w:pPr>
        <w:adjustRightInd w:val="0"/>
        <w:snapToGrid w:val="0"/>
        <w:spacing w:line="300" w:lineRule="auto"/>
        <w:ind w:firstLine="640" w:firstLineChars="200"/>
        <w:rPr>
          <w:rFonts w:hint="eastAsia" w:eastAsia="方正楷体简体" w:cs="楷体_GB2312"/>
          <w:color w:val="000000"/>
        </w:rPr>
      </w:pPr>
      <w:r>
        <w:rPr>
          <w:rFonts w:eastAsia="方正楷体简体" w:cs="楷体_GB2312"/>
          <w:color w:val="000000"/>
        </w:rPr>
        <w:t>（二）数字化创新应用类</w:t>
      </w:r>
    </w:p>
    <w:p>
      <w:pPr>
        <w:adjustRightInd w:val="0"/>
        <w:snapToGrid w:val="0"/>
        <w:spacing w:line="300" w:lineRule="auto"/>
        <w:ind w:firstLine="640" w:firstLineChars="200"/>
        <w:rPr>
          <w:color w:val="000000"/>
        </w:rPr>
      </w:pPr>
      <w:r>
        <w:rPr>
          <w:color w:val="000000"/>
        </w:rPr>
        <w:t>4.智能装备供应商。</w:t>
      </w:r>
    </w:p>
    <w:p>
      <w:pPr>
        <w:adjustRightInd w:val="0"/>
        <w:snapToGrid w:val="0"/>
        <w:spacing w:line="300" w:lineRule="auto"/>
        <w:ind w:firstLine="640" w:firstLineChars="200"/>
        <w:rPr>
          <w:color w:val="000000"/>
        </w:rPr>
      </w:pPr>
      <w:r>
        <w:rPr>
          <w:color w:val="000000"/>
        </w:rPr>
        <w:t>（1）能够基于企业自动化产线建设和改造需要，提供智能装备的交付、安装、集成和售后服务。</w:t>
      </w:r>
    </w:p>
    <w:p>
      <w:pPr>
        <w:adjustRightInd w:val="0"/>
        <w:snapToGrid w:val="0"/>
        <w:spacing w:line="300" w:lineRule="auto"/>
        <w:ind w:firstLine="640" w:firstLineChars="200"/>
        <w:rPr>
          <w:color w:val="000000"/>
        </w:rPr>
      </w:pPr>
      <w:r>
        <w:rPr>
          <w:color w:val="000000"/>
        </w:rPr>
        <w:t>（2）应建立完善的质量管理与售后管理体系，保证提供的智能装备产品质量，能够根据故障及时完成维修。</w:t>
      </w:r>
    </w:p>
    <w:p>
      <w:pPr>
        <w:adjustRightInd w:val="0"/>
        <w:snapToGrid w:val="0"/>
        <w:spacing w:line="300" w:lineRule="auto"/>
        <w:ind w:firstLine="640" w:firstLineChars="200"/>
        <w:rPr>
          <w:color w:val="000000"/>
        </w:rPr>
      </w:pPr>
      <w:r>
        <w:rPr>
          <w:color w:val="000000"/>
        </w:rPr>
        <w:t>（3）能够开放设备接口，满足用户未来设备数字化管理、集成等需求，至少在四川省内三家企业得到应用和良好反馈。</w:t>
      </w:r>
    </w:p>
    <w:p>
      <w:pPr>
        <w:adjustRightInd w:val="0"/>
        <w:snapToGrid w:val="0"/>
        <w:spacing w:line="300" w:lineRule="auto"/>
        <w:ind w:firstLine="640" w:firstLineChars="200"/>
        <w:rPr>
          <w:color w:val="000000"/>
        </w:rPr>
      </w:pPr>
      <w:r>
        <w:rPr>
          <w:color w:val="000000"/>
        </w:rPr>
        <w:t>（4）能够利用信息化手段，为智能装备开展状态监测、生产分析、设备备件、故障诊断、预测性维护等远程运维服务。</w:t>
      </w:r>
    </w:p>
    <w:p>
      <w:pPr>
        <w:adjustRightInd w:val="0"/>
        <w:snapToGrid w:val="0"/>
        <w:spacing w:line="300" w:lineRule="auto"/>
        <w:ind w:firstLine="640" w:firstLineChars="200"/>
        <w:rPr>
          <w:color w:val="000000"/>
        </w:rPr>
      </w:pPr>
      <w:r>
        <w:rPr>
          <w:color w:val="000000"/>
        </w:rPr>
        <w:t>5.工业软件供应商。</w:t>
      </w:r>
    </w:p>
    <w:p>
      <w:pPr>
        <w:adjustRightInd w:val="0"/>
        <w:snapToGrid w:val="0"/>
        <w:spacing w:line="300" w:lineRule="auto"/>
        <w:ind w:firstLine="640" w:firstLineChars="200"/>
        <w:rPr>
          <w:color w:val="000000"/>
        </w:rPr>
      </w:pPr>
      <w:r>
        <w:rPr>
          <w:color w:val="000000"/>
        </w:rPr>
        <w:t>（1）应拥有至少1款在售工业软件产品，且至少在四川省内企业得到应用和良好反馈。</w:t>
      </w:r>
    </w:p>
    <w:p>
      <w:pPr>
        <w:adjustRightInd w:val="0"/>
        <w:snapToGrid w:val="0"/>
        <w:spacing w:line="300" w:lineRule="auto"/>
        <w:ind w:firstLine="640" w:firstLineChars="200"/>
        <w:rPr>
          <w:color w:val="000000"/>
        </w:rPr>
      </w:pPr>
      <w:r>
        <w:rPr>
          <w:color w:val="000000"/>
        </w:rPr>
        <w:t>（2）根据行业特点及发展需求，提供模块化、标准化的工业软件产品，具备根据客户需求和项目特性开展个性化定制和二次开发的能力。</w:t>
      </w:r>
    </w:p>
    <w:p>
      <w:pPr>
        <w:adjustRightInd w:val="0"/>
        <w:snapToGrid w:val="0"/>
        <w:spacing w:line="300" w:lineRule="auto"/>
        <w:ind w:firstLine="640" w:firstLineChars="200"/>
        <w:rPr>
          <w:color w:val="000000"/>
        </w:rPr>
      </w:pPr>
      <w:r>
        <w:rPr>
          <w:color w:val="000000"/>
        </w:rPr>
        <w:t>（3）具有完善的售后服务体系，设立单独的运维部门和专业人员，为用户提供相应的技术咨询、技术培训和维保服务。</w:t>
      </w:r>
    </w:p>
    <w:p>
      <w:pPr>
        <w:adjustRightInd w:val="0"/>
        <w:snapToGrid w:val="0"/>
        <w:spacing w:line="300" w:lineRule="auto"/>
        <w:ind w:firstLine="640" w:firstLineChars="200"/>
        <w:rPr>
          <w:color w:val="000000"/>
        </w:rPr>
      </w:pPr>
      <w:r>
        <w:rPr>
          <w:color w:val="000000"/>
        </w:rPr>
        <w:t>6.数字化转型技术供应商。</w:t>
      </w:r>
    </w:p>
    <w:p>
      <w:pPr>
        <w:adjustRightInd w:val="0"/>
        <w:snapToGrid w:val="0"/>
        <w:spacing w:line="300" w:lineRule="auto"/>
        <w:ind w:firstLine="640" w:firstLineChars="200"/>
        <w:rPr>
          <w:color w:val="000000"/>
        </w:rPr>
      </w:pPr>
      <w:r>
        <w:rPr>
          <w:color w:val="000000"/>
        </w:rPr>
        <w:t>（1）具有专业的技术团队，掌握数据处理分析、人工智能、机器视觉、信息系统集成等核心技术，拥有相关发明专利不少于3项。</w:t>
      </w:r>
    </w:p>
    <w:p>
      <w:pPr>
        <w:adjustRightInd w:val="0"/>
        <w:snapToGrid w:val="0"/>
        <w:spacing w:line="300" w:lineRule="auto"/>
        <w:ind w:firstLine="640" w:firstLineChars="200"/>
        <w:rPr>
          <w:color w:val="000000"/>
        </w:rPr>
      </w:pPr>
      <w:r>
        <w:rPr>
          <w:color w:val="000000"/>
        </w:rPr>
        <w:t>（2）具有完善的技术服务和管理体系，确保客户数据不丢失、不外泄。</w:t>
      </w:r>
    </w:p>
    <w:p>
      <w:pPr>
        <w:adjustRightInd w:val="0"/>
        <w:snapToGrid w:val="0"/>
        <w:spacing w:line="300" w:lineRule="auto"/>
        <w:ind w:firstLine="640" w:firstLineChars="200"/>
        <w:rPr>
          <w:rFonts w:hint="eastAsia" w:eastAsia="方正楷体简体" w:cs="楷体_GB2312"/>
          <w:color w:val="000000"/>
        </w:rPr>
      </w:pPr>
      <w:r>
        <w:rPr>
          <w:rFonts w:eastAsia="方正楷体简体" w:cs="楷体_GB2312"/>
          <w:color w:val="000000"/>
        </w:rPr>
        <w:t>（三）数字化安全保障类</w:t>
      </w:r>
    </w:p>
    <w:p>
      <w:pPr>
        <w:adjustRightInd w:val="0"/>
        <w:snapToGrid w:val="0"/>
        <w:spacing w:line="300" w:lineRule="auto"/>
        <w:ind w:firstLine="640" w:firstLineChars="200"/>
        <w:rPr>
          <w:color w:val="000000"/>
        </w:rPr>
      </w:pPr>
      <w:r>
        <w:rPr>
          <w:color w:val="000000"/>
        </w:rPr>
        <w:t>7.信息安全供应商。</w:t>
      </w:r>
    </w:p>
    <w:p>
      <w:pPr>
        <w:adjustRightInd w:val="0"/>
        <w:snapToGrid w:val="0"/>
        <w:spacing w:line="300" w:lineRule="auto"/>
        <w:ind w:firstLine="640" w:firstLineChars="200"/>
        <w:rPr>
          <w:color w:val="000000"/>
        </w:rPr>
      </w:pPr>
      <w:r>
        <w:rPr>
          <w:color w:val="000000"/>
        </w:rPr>
        <w:t>（1）能够依据相关法律法规和标准规范，采用安全可靠的专业工具和设备以及其他必要的技术保障措施提供安全服务。</w:t>
      </w:r>
    </w:p>
    <w:p>
      <w:pPr>
        <w:adjustRightInd w:val="0"/>
        <w:snapToGrid w:val="0"/>
        <w:spacing w:line="300" w:lineRule="auto"/>
        <w:ind w:firstLine="640" w:firstLineChars="200"/>
        <w:rPr>
          <w:color w:val="000000"/>
        </w:rPr>
      </w:pPr>
      <w:r>
        <w:rPr>
          <w:color w:val="000000"/>
        </w:rPr>
        <w:t>（2）具有专业的安全技术团队，技术人员获得国家相关机构评价认可资质。</w:t>
      </w:r>
    </w:p>
    <w:p>
      <w:pPr>
        <w:adjustRightInd w:val="0"/>
        <w:snapToGrid w:val="0"/>
        <w:spacing w:line="300" w:lineRule="auto"/>
        <w:ind w:firstLine="640" w:firstLineChars="200"/>
        <w:rPr>
          <w:color w:val="000000"/>
        </w:rPr>
      </w:pPr>
      <w:r>
        <w:rPr>
          <w:color w:val="000000"/>
        </w:rPr>
        <w:t>（3）具备成熟完善的客户服务和质量管理体系，帮助企业实现工业领域网络安全和数据安全的管理和防护目标。</w:t>
      </w:r>
    </w:p>
    <w:p>
      <w:pPr>
        <w:adjustRightInd w:val="0"/>
        <w:snapToGrid w:val="0"/>
        <w:spacing w:line="300" w:lineRule="auto"/>
        <w:ind w:firstLine="640" w:firstLineChars="200"/>
        <w:rPr>
          <w:rFonts w:cs="楷体_GB2312"/>
          <w:color w:val="000000"/>
        </w:rPr>
      </w:pPr>
      <w:r>
        <w:rPr>
          <w:rFonts w:cs="楷体_GB2312"/>
          <w:color w:val="000000"/>
        </w:rPr>
        <w:t>（四）数字化转型服务类。</w:t>
      </w:r>
    </w:p>
    <w:p>
      <w:pPr>
        <w:adjustRightInd w:val="0"/>
        <w:snapToGrid w:val="0"/>
        <w:spacing w:line="300" w:lineRule="auto"/>
        <w:ind w:firstLine="640" w:firstLineChars="200"/>
        <w:rPr>
          <w:color w:val="000000"/>
        </w:rPr>
      </w:pPr>
      <w:r>
        <w:rPr>
          <w:color w:val="000000"/>
        </w:rPr>
        <w:t>8.技术咨询供应商。</w:t>
      </w:r>
    </w:p>
    <w:p>
      <w:pPr>
        <w:adjustRightInd w:val="0"/>
        <w:snapToGrid w:val="0"/>
        <w:spacing w:line="300" w:lineRule="auto"/>
        <w:ind w:firstLine="640" w:firstLineChars="200"/>
        <w:rPr>
          <w:color w:val="000000"/>
        </w:rPr>
      </w:pPr>
      <w:r>
        <w:rPr>
          <w:color w:val="000000"/>
        </w:rPr>
        <w:t>（1）具有专业的服务团队，根据行业及发展需求，研究制定模块化、标准化服务方案，能够提供智能化改造数字化转型咨询规划、诊断评估、技术标准等服务。</w:t>
      </w:r>
    </w:p>
    <w:p>
      <w:pPr>
        <w:adjustRightInd w:val="0"/>
        <w:snapToGrid w:val="0"/>
        <w:spacing w:line="300" w:lineRule="auto"/>
        <w:ind w:firstLine="640" w:firstLineChars="200"/>
        <w:rPr>
          <w:color w:val="000000"/>
        </w:rPr>
      </w:pPr>
      <w:r>
        <w:rPr>
          <w:color w:val="000000"/>
        </w:rPr>
        <w:t>（2）具有完善的客户服务体系，在人员、技术、装备、生产、物流、销售、服务等方面的能力建设进行诊断、评估和监理，形成分析报告。</w:t>
      </w:r>
    </w:p>
    <w:p>
      <w:pPr>
        <w:adjustRightInd w:val="0"/>
        <w:snapToGrid w:val="0"/>
        <w:spacing w:line="300" w:lineRule="auto"/>
        <w:ind w:firstLine="640" w:firstLineChars="200"/>
        <w:rPr>
          <w:color w:val="000000"/>
        </w:rPr>
      </w:pPr>
      <w:r>
        <w:rPr>
          <w:color w:val="000000"/>
        </w:rPr>
        <w:t>9.金融服务供应商。</w:t>
      </w:r>
    </w:p>
    <w:p>
      <w:pPr>
        <w:adjustRightInd w:val="0"/>
        <w:snapToGrid w:val="0"/>
        <w:spacing w:line="300" w:lineRule="auto"/>
        <w:ind w:firstLine="640" w:firstLineChars="200"/>
        <w:rPr>
          <w:color w:val="000000"/>
        </w:rPr>
      </w:pPr>
      <w:r>
        <w:rPr>
          <w:color w:val="000000"/>
        </w:rPr>
        <w:t>（1）围绕制造业“智改数转”需求，至少拥有3款相关贷款、授信、融资租赁等金融类产品。</w:t>
      </w:r>
    </w:p>
    <w:p>
      <w:pPr>
        <w:adjustRightInd w:val="0"/>
        <w:snapToGrid w:val="0"/>
        <w:spacing w:line="300" w:lineRule="auto"/>
        <w:ind w:firstLine="640" w:firstLineChars="200"/>
        <w:rPr>
          <w:color w:val="000000"/>
        </w:rPr>
      </w:pPr>
      <w:r>
        <w:rPr>
          <w:color w:val="000000"/>
        </w:rPr>
        <w:t>（2）应具备健全的风险管理体系，有效评估、监测和控制各类风险，包括信用风险、市场风险、操作风险等，确保资产安全和稳健经营。</w:t>
      </w:r>
    </w:p>
    <w:p>
      <w:pPr>
        <w:adjustRightInd w:val="0"/>
        <w:snapToGrid w:val="0"/>
        <w:spacing w:line="300" w:lineRule="auto"/>
        <w:ind w:firstLine="640" w:firstLineChars="200"/>
        <w:rPr>
          <w:color w:val="000000"/>
        </w:rPr>
      </w:pPr>
      <w:r>
        <w:rPr>
          <w:color w:val="000000"/>
        </w:rPr>
        <w:t>（3）应具备完善的信息安全管理体系，保护客户的个人信息和交易数据安全，预防信息泄露和滥用。</w:t>
      </w:r>
    </w:p>
    <w:p>
      <w:pPr>
        <w:adjustRightInd w:val="0"/>
        <w:snapToGrid w:val="0"/>
        <w:spacing w:line="300" w:lineRule="auto"/>
        <w:ind w:firstLine="640" w:firstLineChars="200"/>
        <w:rPr>
          <w:color w:val="000000"/>
        </w:rPr>
      </w:pPr>
      <w:r>
        <w:rPr>
          <w:color w:val="000000"/>
        </w:rPr>
        <w:t>10.人才培训供应商。</w:t>
      </w:r>
    </w:p>
    <w:p>
      <w:pPr>
        <w:adjustRightInd w:val="0"/>
        <w:snapToGrid w:val="0"/>
        <w:spacing w:line="300" w:lineRule="auto"/>
        <w:ind w:firstLine="640" w:firstLineChars="200"/>
        <w:rPr>
          <w:color w:val="000000"/>
        </w:rPr>
      </w:pPr>
      <w:r>
        <w:rPr>
          <w:color w:val="000000"/>
        </w:rPr>
        <w:t>（1）应具备相关培训能力，每年培训数字化相关人员数量不低于1万人次。</w:t>
      </w:r>
    </w:p>
    <w:p>
      <w:pPr>
        <w:adjustRightInd w:val="0"/>
        <w:snapToGrid w:val="0"/>
        <w:spacing w:line="300" w:lineRule="auto"/>
        <w:ind w:firstLine="640" w:firstLineChars="200"/>
        <w:rPr>
          <w:color w:val="000000"/>
        </w:rPr>
      </w:pPr>
      <w:r>
        <w:rPr>
          <w:color w:val="000000"/>
        </w:rPr>
        <w:t>（2）师资和课程体系完善，可根据行业需求，提供专业的人才培训服务。</w:t>
      </w:r>
    </w:p>
    <w:p>
      <w:pPr>
        <w:adjustRightInd w:val="0"/>
        <w:snapToGrid w:val="0"/>
        <w:spacing w:line="300" w:lineRule="auto"/>
        <w:ind w:firstLine="640" w:firstLineChars="200"/>
        <w:rPr>
          <w:rFonts w:eastAsia="方正黑体简体" w:cs="黑体"/>
          <w:color w:val="000000"/>
        </w:rPr>
      </w:pPr>
      <w:r>
        <w:rPr>
          <w:rFonts w:eastAsia="方正黑体简体" w:cs="黑体"/>
          <w:color w:val="000000"/>
        </w:rPr>
        <w:t>四、申报流程</w:t>
      </w:r>
    </w:p>
    <w:p>
      <w:pPr>
        <w:adjustRightInd w:val="0"/>
        <w:snapToGrid w:val="0"/>
        <w:spacing w:line="300" w:lineRule="auto"/>
        <w:ind w:firstLine="640" w:firstLineChars="200"/>
        <w:rPr>
          <w:color w:val="000000"/>
        </w:rPr>
      </w:pPr>
      <w:r>
        <w:rPr>
          <w:rFonts w:eastAsia="方正楷体简体" w:cs="楷体_GB2312"/>
          <w:color w:val="000000"/>
        </w:rPr>
        <w:t>（一）自主申报。</w:t>
      </w:r>
      <w:r>
        <w:rPr>
          <w:color w:val="000000"/>
        </w:rPr>
        <w:t>本次为统一申报，按照自愿原则，每个申报单位可选择多个方向。申报单位根据申报书（见附件1）要求编制申报材料，将装订盖章后的纸质版申报材料提交至</w:t>
      </w:r>
      <w:r>
        <w:rPr>
          <w:rFonts w:hint="eastAsia"/>
          <w:color w:val="000000"/>
        </w:rPr>
        <w:t>相应区（市）县工业</w:t>
      </w:r>
      <w:r>
        <w:rPr>
          <w:color w:val="000000"/>
        </w:rPr>
        <w:t>和信息化主管部门</w:t>
      </w:r>
      <w:r>
        <w:rPr>
          <w:rFonts w:hint="eastAsia"/>
          <w:color w:val="000000"/>
        </w:rPr>
        <w:t>，并在成都市工业互联网公共服务平台(成都市智能制造公共服务平台)上填报信息，上传申报书</w:t>
      </w:r>
      <w:r>
        <w:rPr>
          <w:color w:val="000000"/>
        </w:rPr>
        <w:t>电子版</w:t>
      </w:r>
      <w:r>
        <w:rPr>
          <w:rFonts w:hint="eastAsia"/>
          <w:color w:val="000000"/>
        </w:rPr>
        <w:t>（</w:t>
      </w:r>
      <w:r>
        <w:rPr>
          <w:color w:val="000000"/>
        </w:rPr>
        <w:t>含word版和盖章PDF版</w:t>
      </w:r>
      <w:r>
        <w:rPr>
          <w:rFonts w:hint="eastAsia"/>
          <w:color w:val="000000"/>
        </w:rPr>
        <w:t>）。平台网址：</w:t>
      </w:r>
      <w:r>
        <w:rPr>
          <w:color w:val="000000"/>
        </w:rPr>
        <w:fldChar w:fldCharType="begin"/>
      </w:r>
      <w:r>
        <w:rPr>
          <w:color w:val="000000"/>
        </w:rPr>
        <w:instrText xml:space="preserve"> HYPERLINK "https://www.cdiisp.com/" </w:instrText>
      </w:r>
      <w:r>
        <w:rPr>
          <w:color w:val="000000"/>
        </w:rPr>
        <w:fldChar w:fldCharType="separate"/>
      </w:r>
      <w:r>
        <w:rPr>
          <w:rStyle w:val="5"/>
          <w:color w:val="000000"/>
        </w:rPr>
        <w:t>https://www.cdiisp.com/</w:t>
      </w:r>
      <w:r>
        <w:rPr>
          <w:color w:val="000000"/>
        </w:rPr>
        <w:fldChar w:fldCharType="end"/>
      </w:r>
      <w:r>
        <w:rPr>
          <w:rFonts w:hint="eastAsia"/>
          <w:color w:val="000000"/>
        </w:rPr>
        <w:t>。</w:t>
      </w:r>
    </w:p>
    <w:p>
      <w:pPr>
        <w:adjustRightInd w:val="0"/>
        <w:snapToGrid w:val="0"/>
        <w:spacing w:line="300" w:lineRule="auto"/>
        <w:ind w:firstLine="640" w:firstLineChars="200"/>
        <w:rPr>
          <w:rFonts w:hint="eastAsia"/>
          <w:color w:val="000000"/>
        </w:rPr>
      </w:pPr>
      <w:r>
        <w:rPr>
          <w:rFonts w:eastAsia="方正楷体简体" w:cs="楷体_GB2312"/>
          <w:color w:val="000000"/>
        </w:rPr>
        <w:t>（二）审核推荐。</w:t>
      </w:r>
      <w:r>
        <w:rPr>
          <w:color w:val="000000"/>
        </w:rPr>
        <w:t>各</w:t>
      </w:r>
      <w:r>
        <w:rPr>
          <w:rFonts w:hint="eastAsia"/>
          <w:color w:val="000000"/>
        </w:rPr>
        <w:t>区</w:t>
      </w:r>
      <w:r>
        <w:rPr>
          <w:color w:val="000000"/>
        </w:rPr>
        <w:t>（</w:t>
      </w:r>
      <w:r>
        <w:rPr>
          <w:rFonts w:hint="eastAsia"/>
          <w:color w:val="000000"/>
        </w:rPr>
        <w:t>市</w:t>
      </w:r>
      <w:r>
        <w:rPr>
          <w:color w:val="000000"/>
        </w:rPr>
        <w:t>）</w:t>
      </w:r>
      <w:r>
        <w:rPr>
          <w:rFonts w:hint="eastAsia"/>
          <w:color w:val="000000"/>
        </w:rPr>
        <w:t>县工业</w:t>
      </w:r>
      <w:r>
        <w:rPr>
          <w:color w:val="000000"/>
        </w:rPr>
        <w:t>和信息化</w:t>
      </w:r>
      <w:r>
        <w:rPr>
          <w:rFonts w:hint="eastAsia"/>
          <w:color w:val="000000"/>
        </w:rPr>
        <w:t>主管部门</w:t>
      </w:r>
      <w:r>
        <w:rPr>
          <w:color w:val="000000"/>
        </w:rPr>
        <w:t>对所在地申报单位资质及相关材料审核后，于2024年1月2</w:t>
      </w:r>
      <w:r>
        <w:rPr>
          <w:rFonts w:hint="eastAsia"/>
          <w:color w:val="000000"/>
        </w:rPr>
        <w:t>4</w:t>
      </w:r>
      <w:r>
        <w:rPr>
          <w:color w:val="000000"/>
        </w:rPr>
        <w:t>日前将纸质版申报书（一式</w:t>
      </w:r>
      <w:r>
        <w:rPr>
          <w:rFonts w:hint="eastAsia"/>
          <w:color w:val="000000"/>
        </w:rPr>
        <w:t>三</w:t>
      </w:r>
      <w:r>
        <w:rPr>
          <w:color w:val="000000"/>
        </w:rPr>
        <w:t>份）及推荐汇总表（附件2）报送至</w:t>
      </w:r>
      <w:r>
        <w:rPr>
          <w:rFonts w:hint="eastAsia"/>
          <w:color w:val="000000"/>
        </w:rPr>
        <w:t>我局工业互联网推进处（蜀锦路68号C416室）。我局汇总后将报送至省经济和信息化厅。</w:t>
      </w:r>
    </w:p>
    <w:p>
      <w:pPr>
        <w:adjustRightInd w:val="0"/>
        <w:snapToGrid w:val="0"/>
        <w:spacing w:line="300" w:lineRule="auto"/>
        <w:ind w:firstLine="640" w:firstLineChars="200"/>
        <w:rPr>
          <w:color w:val="000000"/>
        </w:rPr>
      </w:pPr>
      <w:r>
        <w:rPr>
          <w:rFonts w:eastAsia="方正楷体简体" w:cs="楷体_GB2312"/>
          <w:color w:val="000000"/>
        </w:rPr>
        <w:t>（三）组织评选。</w:t>
      </w:r>
      <w:r>
        <w:rPr>
          <w:rFonts w:hint="eastAsia" w:cs="楷体_GB2312"/>
          <w:color w:val="000000"/>
        </w:rPr>
        <w:t>省</w:t>
      </w:r>
      <w:r>
        <w:rPr>
          <w:color w:val="000000"/>
        </w:rPr>
        <w:t>经济和信息化厅将组织第三方机构或专家进行评审，并根据申报方向形成年度供应商目录和对应重点产品、服务供给清单，在网上公示5个工作日，公示期无异议的，纳入四川省制造业“智改数转”供应商资源池。</w:t>
      </w:r>
    </w:p>
    <w:p>
      <w:pPr>
        <w:adjustRightInd w:val="0"/>
        <w:snapToGrid w:val="0"/>
        <w:spacing w:line="300" w:lineRule="auto"/>
        <w:ind w:firstLine="640" w:firstLineChars="200"/>
        <w:rPr>
          <w:rFonts w:eastAsia="方正黑体简体" w:cs="黑体"/>
          <w:color w:val="000000"/>
        </w:rPr>
      </w:pPr>
      <w:r>
        <w:rPr>
          <w:rFonts w:eastAsia="方正黑体简体" w:cs="黑体"/>
          <w:color w:val="000000"/>
        </w:rPr>
        <w:t>五、工作要求</w:t>
      </w:r>
    </w:p>
    <w:p>
      <w:pPr>
        <w:adjustRightInd w:val="0"/>
        <w:snapToGrid w:val="0"/>
        <w:spacing w:line="300" w:lineRule="auto"/>
        <w:ind w:firstLine="640" w:firstLineChars="200"/>
        <w:rPr>
          <w:color w:val="000000"/>
        </w:rPr>
      </w:pPr>
      <w:r>
        <w:rPr>
          <w:rFonts w:eastAsia="方正楷体简体" w:cs="楷体_GB2312"/>
          <w:color w:val="000000"/>
        </w:rPr>
        <w:t>（一）做好审核推荐。</w:t>
      </w:r>
      <w:r>
        <w:rPr>
          <w:color w:val="000000"/>
        </w:rPr>
        <w:t>各</w:t>
      </w:r>
      <w:r>
        <w:rPr>
          <w:rFonts w:hint="eastAsia"/>
          <w:color w:val="000000"/>
        </w:rPr>
        <w:t>区</w:t>
      </w:r>
      <w:r>
        <w:rPr>
          <w:color w:val="000000"/>
        </w:rPr>
        <w:t>（</w:t>
      </w:r>
      <w:r>
        <w:rPr>
          <w:rFonts w:hint="eastAsia"/>
          <w:color w:val="000000"/>
        </w:rPr>
        <w:t>市</w:t>
      </w:r>
      <w:r>
        <w:rPr>
          <w:color w:val="000000"/>
        </w:rPr>
        <w:t>）</w:t>
      </w:r>
      <w:r>
        <w:rPr>
          <w:rFonts w:hint="eastAsia"/>
          <w:color w:val="000000"/>
        </w:rPr>
        <w:t>县工业</w:t>
      </w:r>
      <w:r>
        <w:rPr>
          <w:color w:val="000000"/>
        </w:rPr>
        <w:t>和信息化</w:t>
      </w:r>
      <w:r>
        <w:rPr>
          <w:rFonts w:hint="eastAsia"/>
          <w:color w:val="000000"/>
        </w:rPr>
        <w:t>主管部门</w:t>
      </w:r>
      <w:r>
        <w:rPr>
          <w:color w:val="000000"/>
        </w:rPr>
        <w:t>负责组织所在地供应商进行申报，对申报单位资质条件及相关材料认真审核，做好推荐工作。</w:t>
      </w:r>
    </w:p>
    <w:p>
      <w:pPr>
        <w:adjustRightInd w:val="0"/>
        <w:snapToGrid w:val="0"/>
        <w:spacing w:line="300" w:lineRule="auto"/>
        <w:ind w:firstLine="640" w:firstLineChars="200"/>
        <w:rPr>
          <w:color w:val="000000"/>
        </w:rPr>
      </w:pPr>
      <w:r>
        <w:rPr>
          <w:rFonts w:eastAsia="方正楷体简体" w:cs="楷体_GB2312"/>
          <w:color w:val="000000"/>
        </w:rPr>
        <w:t>（二）实施动态管理。</w:t>
      </w:r>
      <w:r>
        <w:rPr>
          <w:color w:val="000000"/>
        </w:rPr>
        <w:t>原则上</w:t>
      </w:r>
      <w:r>
        <w:rPr>
          <w:rFonts w:hint="eastAsia"/>
          <w:color w:val="000000"/>
        </w:rPr>
        <w:t>省</w:t>
      </w:r>
      <w:r>
        <w:rPr>
          <w:color w:val="000000"/>
        </w:rPr>
        <w:t>经济和信息化厅每年组织一次供应商征集，同时对已纳入资源池的供应商进行评价，对评价不合格的供应商，从资源池中移除。各</w:t>
      </w:r>
      <w:r>
        <w:rPr>
          <w:rFonts w:hint="eastAsia"/>
          <w:color w:val="000000"/>
        </w:rPr>
        <w:t>区</w:t>
      </w:r>
      <w:r>
        <w:rPr>
          <w:color w:val="000000"/>
        </w:rPr>
        <w:t>（</w:t>
      </w:r>
      <w:r>
        <w:rPr>
          <w:rFonts w:hint="eastAsia"/>
          <w:color w:val="000000"/>
        </w:rPr>
        <w:t>市</w:t>
      </w:r>
      <w:r>
        <w:rPr>
          <w:color w:val="000000"/>
        </w:rPr>
        <w:t>）</w:t>
      </w:r>
      <w:r>
        <w:rPr>
          <w:rFonts w:hint="eastAsia"/>
          <w:color w:val="000000"/>
        </w:rPr>
        <w:t>县工业</w:t>
      </w:r>
      <w:r>
        <w:rPr>
          <w:color w:val="000000"/>
        </w:rPr>
        <w:t>和信息化</w:t>
      </w:r>
      <w:r>
        <w:rPr>
          <w:rFonts w:hint="eastAsia"/>
          <w:color w:val="000000"/>
        </w:rPr>
        <w:t>主管部门负责对</w:t>
      </w:r>
      <w:r>
        <w:rPr>
          <w:color w:val="000000"/>
        </w:rPr>
        <w:t>资源池中的所在地供应商进行日常监督，必要时可进行抽查</w:t>
      </w:r>
      <w:r>
        <w:rPr>
          <w:rFonts w:hint="eastAsia"/>
          <w:color w:val="000000"/>
        </w:rPr>
        <w:t>，发现问题及时反映4至市经济和信息化局</w:t>
      </w:r>
      <w:r>
        <w:rPr>
          <w:color w:val="000000"/>
        </w:rPr>
        <w:t>。鼓励社会各界对入池服务商服务行为进行监督</w:t>
      </w:r>
      <w:r>
        <w:rPr>
          <w:rFonts w:hint="eastAsia"/>
          <w:color w:val="000000"/>
        </w:rPr>
        <w:t>。</w:t>
      </w:r>
      <w:r>
        <w:rPr>
          <w:color w:val="000000"/>
        </w:rPr>
        <w:t>若</w:t>
      </w:r>
      <w:r>
        <w:rPr>
          <w:rFonts w:hint="eastAsia"/>
          <w:color w:val="000000"/>
        </w:rPr>
        <w:t>供应商</w:t>
      </w:r>
      <w:r>
        <w:rPr>
          <w:color w:val="000000"/>
        </w:rPr>
        <w:t>存在违法行为或弄虚作假、严重失信、不良记录、不正当竞争造成恶劣影响等情形，或发生重大安全、环保和质量事故的，</w:t>
      </w:r>
      <w:r>
        <w:rPr>
          <w:rFonts w:hint="eastAsia" w:cs="楷体_GB2312"/>
          <w:color w:val="000000"/>
        </w:rPr>
        <w:t>省</w:t>
      </w:r>
      <w:r>
        <w:rPr>
          <w:color w:val="000000"/>
        </w:rPr>
        <w:t>经济和信息化厅将予以通报并取消资源池入驻资格。</w:t>
      </w:r>
    </w:p>
    <w:p>
      <w:pPr>
        <w:adjustRightInd w:val="0"/>
        <w:snapToGrid w:val="0"/>
        <w:spacing w:line="300" w:lineRule="auto"/>
        <w:ind w:firstLine="640" w:firstLineChars="200"/>
        <w:rPr>
          <w:color w:val="000000"/>
        </w:rPr>
      </w:pPr>
      <w:r>
        <w:rPr>
          <w:rFonts w:eastAsia="方正楷体简体" w:cs="楷体_GB2312"/>
          <w:color w:val="000000"/>
        </w:rPr>
        <w:t>（三）加强培育扶持。</w:t>
      </w:r>
      <w:r>
        <w:rPr>
          <w:color w:val="000000"/>
        </w:rPr>
        <w:t>支持纳入资源池的供应商做大做强，组织人员培训、行业交流、供需对接、产品推介、宣传展示等系列活动。鼓励各地加强所在地区供应商培育，吸引其他省（市）优秀供应商落户，提升本地化服务支撑能力，对绩效突出的供应商，在专项资金、要素保障、场景供给、人才招引等方面给予积极支持。</w:t>
      </w:r>
    </w:p>
    <w:p>
      <w:pPr>
        <w:adjustRightInd w:val="0"/>
        <w:snapToGrid w:val="0"/>
        <w:spacing w:line="300" w:lineRule="auto"/>
        <w:ind w:firstLine="640" w:firstLineChars="200"/>
        <w:rPr>
          <w:color w:val="000000"/>
        </w:rPr>
      </w:pPr>
      <w:r>
        <w:rPr>
          <w:color w:val="000000"/>
        </w:rPr>
        <w:t>特此通知。</w:t>
      </w:r>
    </w:p>
    <w:p>
      <w:pPr>
        <w:adjustRightInd w:val="0"/>
        <w:snapToGrid w:val="0"/>
        <w:spacing w:line="300" w:lineRule="auto"/>
        <w:ind w:left="1920" w:leftChars="200" w:right="-160" w:rightChars="-50" w:hanging="1280" w:hangingChars="400"/>
        <w:rPr>
          <w:color w:val="000000"/>
        </w:rPr>
      </w:pPr>
    </w:p>
    <w:p>
      <w:pPr>
        <w:adjustRightInd w:val="0"/>
        <w:snapToGrid w:val="0"/>
        <w:spacing w:line="300" w:lineRule="auto"/>
        <w:ind w:left="1920" w:leftChars="200" w:right="-160" w:rightChars="-50" w:hanging="1280" w:hangingChars="400"/>
        <w:rPr>
          <w:color w:val="000000"/>
          <w:spacing w:val="-4"/>
        </w:rPr>
      </w:pPr>
      <w:r>
        <w:rPr>
          <w:color w:val="000000"/>
        </w:rPr>
        <w:t>附件：</w:t>
      </w:r>
      <w:r>
        <w:rPr>
          <w:color w:val="000000"/>
          <w:spacing w:val="-4"/>
        </w:rPr>
        <w:t>1</w:t>
      </w:r>
      <w:r>
        <w:rPr>
          <w:rFonts w:hint="eastAsia"/>
          <w:color w:val="000000"/>
          <w:spacing w:val="-4"/>
        </w:rPr>
        <w:t>．</w:t>
      </w:r>
      <w:r>
        <w:rPr>
          <w:color w:val="000000"/>
          <w:spacing w:val="-4"/>
        </w:rPr>
        <w:t>四川省制造业智能化改造数字化转型供应商申报书</w:t>
      </w:r>
    </w:p>
    <w:p>
      <w:pPr>
        <w:adjustRightInd w:val="0"/>
        <w:snapToGrid w:val="0"/>
        <w:spacing w:line="300" w:lineRule="auto"/>
        <w:ind w:left="2080" w:leftChars="500" w:hanging="480" w:hangingChars="150"/>
        <w:rPr>
          <w:color w:val="000000"/>
        </w:rPr>
      </w:pPr>
      <w:r>
        <w:rPr>
          <w:color w:val="000000"/>
        </w:rPr>
        <w:t>2</w:t>
      </w:r>
      <w:r>
        <w:rPr>
          <w:rFonts w:hint="eastAsia"/>
          <w:color w:val="000000"/>
        </w:rPr>
        <w:t>．</w:t>
      </w:r>
      <w:r>
        <w:rPr>
          <w:color w:val="000000"/>
        </w:rPr>
        <w:t>四川省制造业智能化改造数字化转型供应商推荐汇总表</w:t>
      </w:r>
      <w:bookmarkStart w:id="0" w:name="_GoBack"/>
      <w:bookmarkEnd w:id="0"/>
    </w:p>
    <w:p>
      <w:pPr>
        <w:adjustRightInd w:val="0"/>
        <w:snapToGrid w:val="0"/>
        <w:spacing w:line="300" w:lineRule="auto"/>
        <w:ind w:firstLine="400" w:firstLineChars="200"/>
        <w:rPr>
          <w:color w:val="000000"/>
          <w:sz w:val="20"/>
          <w:szCs w:val="20"/>
        </w:rPr>
      </w:pPr>
    </w:p>
    <w:p>
      <w:pPr>
        <w:adjustRightInd w:val="0"/>
        <w:snapToGrid w:val="0"/>
        <w:spacing w:line="300" w:lineRule="auto"/>
        <w:ind w:firstLine="400" w:firstLineChars="200"/>
        <w:rPr>
          <w:color w:val="000000"/>
          <w:sz w:val="20"/>
          <w:szCs w:val="20"/>
        </w:rPr>
      </w:pPr>
    </w:p>
    <w:p>
      <w:pPr>
        <w:widowControl w:val="0"/>
        <w:adjustRightInd w:val="0"/>
        <w:snapToGrid w:val="0"/>
        <w:spacing w:after="120" w:line="300" w:lineRule="auto"/>
        <w:jc w:val="both"/>
        <w:rPr>
          <w:rFonts w:ascii="Times New Roman" w:hAnsi="Times New Roman" w:eastAsia="方正仿宋简体" w:cs="Times New Roman"/>
          <w:color w:val="000000"/>
          <w:kern w:val="2"/>
          <w:sz w:val="20"/>
          <w:szCs w:val="20"/>
          <w:lang w:val="en-US" w:eastAsia="zh-CN" w:bidi="ar-SA"/>
        </w:rPr>
      </w:pPr>
    </w:p>
    <w:p>
      <w:pPr>
        <w:adjustRightInd w:val="0"/>
        <w:snapToGrid w:val="0"/>
        <w:spacing w:line="300" w:lineRule="auto"/>
        <w:ind w:right="960" w:rightChars="300" w:firstLine="640" w:firstLineChars="200"/>
        <w:jc w:val="right"/>
        <w:rPr>
          <w:color w:val="000000"/>
        </w:rPr>
      </w:pPr>
      <w:r>
        <w:rPr>
          <w:color w:val="000000"/>
        </w:rPr>
        <w:t>成都市经济和信息化局</w:t>
      </w:r>
    </w:p>
    <w:p>
      <w:pPr>
        <w:widowControl w:val="0"/>
        <w:adjustRightInd w:val="0"/>
        <w:snapToGrid w:val="0"/>
        <w:spacing w:after="120" w:line="300" w:lineRule="auto"/>
        <w:ind w:right="1280" w:rightChars="400" w:firstLine="640" w:firstLineChars="200"/>
        <w:jc w:val="right"/>
        <w:rPr>
          <w:rFonts w:ascii="Times New Roman" w:hAnsi="Times New Roman" w:eastAsia="方正仿宋简体" w:cs="Times New Roman"/>
          <w:color w:val="000000"/>
          <w:kern w:val="2"/>
          <w:sz w:val="32"/>
          <w:szCs w:val="32"/>
          <w:lang w:val="en-US" w:eastAsia="zh-CN" w:bidi="ar-SA"/>
        </w:rPr>
      </w:pPr>
      <w:r>
        <w:rPr>
          <w:rFonts w:ascii="Times New Roman" w:hAnsi="Times New Roman" w:eastAsia="方正仿宋简体" w:cs="Times New Roman"/>
          <w:color w:val="000000"/>
          <w:kern w:val="2"/>
          <w:sz w:val="32"/>
          <w:szCs w:val="32"/>
          <w:lang w:val="en-US" w:eastAsia="zh-CN" w:bidi="ar-SA"/>
        </w:rPr>
        <w:t>202</w:t>
      </w:r>
      <w:r>
        <w:rPr>
          <w:rFonts w:hint="eastAsia" w:ascii="Times New Roman" w:hAnsi="Times New Roman" w:eastAsia="方正仿宋简体" w:cs="Times New Roman"/>
          <w:color w:val="000000"/>
          <w:kern w:val="2"/>
          <w:sz w:val="32"/>
          <w:szCs w:val="32"/>
          <w:lang w:val="en-US" w:eastAsia="zh-CN" w:bidi="ar-SA"/>
        </w:rPr>
        <w:t>4</w:t>
      </w:r>
      <w:r>
        <w:rPr>
          <w:rFonts w:ascii="Times New Roman" w:hAnsi="Times New Roman" w:eastAsia="方正仿宋简体" w:cs="Times New Roman"/>
          <w:color w:val="000000"/>
          <w:kern w:val="2"/>
          <w:sz w:val="32"/>
          <w:szCs w:val="32"/>
          <w:lang w:val="en-US" w:eastAsia="zh-CN" w:bidi="ar-SA"/>
        </w:rPr>
        <w:t>年</w:t>
      </w:r>
      <w:r>
        <w:rPr>
          <w:rFonts w:hint="eastAsia" w:ascii="Times New Roman" w:hAnsi="Times New Roman" w:eastAsia="方正仿宋简体" w:cs="Times New Roman"/>
          <w:color w:val="000000"/>
          <w:kern w:val="2"/>
          <w:sz w:val="32"/>
          <w:szCs w:val="32"/>
          <w:lang w:val="en-US" w:eastAsia="zh-CN" w:bidi="ar-SA"/>
        </w:rPr>
        <w:t>1</w:t>
      </w:r>
      <w:r>
        <w:rPr>
          <w:rFonts w:ascii="Times New Roman" w:hAnsi="Times New Roman" w:eastAsia="方正仿宋简体" w:cs="Times New Roman"/>
          <w:color w:val="000000"/>
          <w:kern w:val="2"/>
          <w:sz w:val="32"/>
          <w:szCs w:val="32"/>
          <w:lang w:val="en-US" w:eastAsia="zh-CN" w:bidi="ar-SA"/>
        </w:rPr>
        <w:t>月</w:t>
      </w:r>
      <w:r>
        <w:rPr>
          <w:rFonts w:hint="eastAsia" w:ascii="Times New Roman" w:hAnsi="Times New Roman" w:eastAsia="方正仿宋简体" w:cs="Times New Roman"/>
          <w:color w:val="000000"/>
          <w:kern w:val="2"/>
          <w:sz w:val="32"/>
          <w:szCs w:val="32"/>
          <w:lang w:val="en-US" w:eastAsia="zh-CN" w:bidi="ar-SA"/>
        </w:rPr>
        <w:t>9</w:t>
      </w:r>
      <w:r>
        <w:rPr>
          <w:rFonts w:ascii="Times New Roman" w:hAnsi="Times New Roman" w:eastAsia="方正仿宋简体" w:cs="Times New Roman"/>
          <w:color w:val="000000"/>
          <w:kern w:val="2"/>
          <w:sz w:val="32"/>
          <w:szCs w:val="32"/>
          <w:lang w:val="en-US" w:eastAsia="zh-CN" w:bidi="ar-SA"/>
        </w:rPr>
        <w:t>日</w:t>
      </w:r>
    </w:p>
    <w:p>
      <w:r>
        <w:rPr>
          <w:color w:val="000000"/>
        </w:rPr>
        <w:t>（联系人：</w:t>
      </w:r>
      <w:r>
        <w:rPr>
          <w:rFonts w:hint="eastAsia"/>
          <w:color w:val="000000"/>
        </w:rPr>
        <w:t>王宇</w:t>
      </w:r>
      <w:r>
        <w:rPr>
          <w:color w:val="000000"/>
        </w:rPr>
        <w:t>；联系方式：6188</w:t>
      </w:r>
      <w:r>
        <w:rPr>
          <w:rFonts w:hint="eastAsia"/>
          <w:color w:val="000000"/>
        </w:rPr>
        <w:t>5818</w:t>
      </w:r>
      <w:r>
        <w:rPr>
          <w:color w:val="00000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YWU2ZDYzMDNlNzYwODk1MmNjYWQ4MDQwMDNlMWYifQ=="/>
  </w:docVars>
  <w:rsids>
    <w:rsidRoot w:val="00000000"/>
    <w:rsid w:val="16CC5D5F"/>
    <w:rsid w:val="342B31AD"/>
    <w:rsid w:val="4864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character" w:styleId="5">
    <w:name w:val="Hyperlink"/>
    <w:basedOn w:val="4"/>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2024-01-09T07:50:00Z</dcterms:created>
  <dc:creator>Dell</dc:creator>
  <cp:lastModifiedBy>XXXX</cp:lastModifiedBy>
  <dcterms:modified xsi:type="dcterms:W3CDTF">2024-01-09T08:29:02Z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74B93F82BCFB48AEA9442D9430E4B39D_12</vt:lpwstr>
  </property>
</Properties>
</file>