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/>
        <w:jc w:val="both"/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</w:pPr>
    </w:p>
    <w:tbl>
      <w:tblPr>
        <w:tblStyle w:val="2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21"/>
        <w:gridCol w:w="777"/>
        <w:gridCol w:w="4650"/>
        <w:gridCol w:w="1323"/>
        <w:gridCol w:w="3137"/>
        <w:gridCol w:w="2318"/>
        <w:gridCol w:w="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45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both"/>
              <w:rPr>
                <w:rFonts w:hint="eastAsia" w:ascii="方正黑体" w:hAnsi="方正黑体" w:eastAsia="方正黑体" w:cs="方正黑体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both"/>
              <w:rPr>
                <w:rFonts w:hint="eastAsia" w:ascii="方正黑体" w:hAnsi="方正黑体" w:eastAsia="方正黑体" w:cs="方正黑体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both"/>
              <w:rPr>
                <w:rFonts w:hint="eastAsia" w:ascii="方正黑体" w:hAnsi="方正黑体" w:eastAsia="方正黑体" w:cs="方正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成都高新区工伤预防专家库拟入库专家名单（第一批）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60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涉及领域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王劲夫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蓉城律师事务所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执业律师（四级律师）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苏正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四川融谦律师事务所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执业律师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赵泽兰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四川融谦律师事务所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执业律师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钟宣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成都慧安注册安全工程师事务所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刘姣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成都慧安注册安全工程师事务所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安全工程师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22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李勇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安全评价师、安全工程师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4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龙朝军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四川云泰安全技术咨询服务有限公司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安全评价师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唐水平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四川环亚康宏健康管理有限公司高新康源体检门诊部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副主任医师、职业病诊断师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康汉文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成都高新好医生医院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33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徐浩然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四川省司法警官总医院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执业医师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4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张言涛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成都世纪有嘉企业管理有限公司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企业高级培训师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工伤预防宣传培训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4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张朋飞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四川银帮企业管理咨询有限公司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劳动关系协调员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工伤预防宣传培训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DMzODQ4ZDgwZTM4YjA3MWM2YjNkYzllYzc0N2EifQ=="/>
  </w:docVars>
  <w:rsids>
    <w:rsidRoot w:val="00000000"/>
    <w:rsid w:val="46CE2D60"/>
    <w:rsid w:val="470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2023-12-12T07:51:00Z</dcterms:created>
  <dc:creator>Administrator</dc:creator>
  <cp:lastModifiedBy>长白雪深</cp:lastModifiedBy>
  <dcterms:modified xsi:type="dcterms:W3CDTF">2023-12-12T07:54:03Z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5B9FAB0E93AE4E6DA640DC90245BC750_12</vt:lpwstr>
  </property>
</Properties>
</file>