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附件1</w:t>
      </w:r>
    </w:p>
    <w:p>
      <w:pPr>
        <w:spacing w:line="540" w:lineRule="exact"/>
        <w:rPr>
          <w:rFonts w:ascii="方正黑体_GBK" w:hAnsi="Times New Roman" w:eastAsia="方正黑体_GBK" w:cs="Times New Roman"/>
          <w:bCs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2023年二、三季度</w:t>
      </w:r>
      <w:r>
        <w:rPr>
          <w:rFonts w:ascii="方正小标宋_GBK" w:eastAsia="方正小标宋_GBK"/>
          <w:sz w:val="44"/>
          <w:szCs w:val="44"/>
        </w:rPr>
        <w:t>《四川天府新区促进对外贸易高质量发展若干政策》拟支持企业名单</w:t>
      </w:r>
    </w:p>
    <w:p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06"/>
        <w:gridCol w:w="486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支持条款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拟支持金额（万元）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攀钢集团成都钒钛资源发展有限公司</w:t>
            </w:r>
          </w:p>
        </w:tc>
        <w:tc>
          <w:tcPr>
            <w:tcW w:w="4862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天齐鑫隆科技（成都）有限公司</w:t>
            </w:r>
          </w:p>
        </w:tc>
        <w:tc>
          <w:tcPr>
            <w:tcW w:w="4862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四川宏炜泰国际贸易有限公司</w:t>
            </w:r>
          </w:p>
        </w:tc>
        <w:tc>
          <w:tcPr>
            <w:tcW w:w="4862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四川蜀物广润物流有限公司</w:t>
            </w:r>
          </w:p>
        </w:tc>
        <w:tc>
          <w:tcPr>
            <w:tcW w:w="4862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四川道弘国际贸易有限公司</w:t>
            </w:r>
          </w:p>
        </w:tc>
        <w:tc>
          <w:tcPr>
            <w:tcW w:w="4862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四川新和进出口有限公司</w:t>
            </w:r>
          </w:p>
        </w:tc>
        <w:tc>
          <w:tcPr>
            <w:tcW w:w="4862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成都九如科技有限公司</w:t>
            </w:r>
          </w:p>
        </w:tc>
        <w:tc>
          <w:tcPr>
            <w:tcW w:w="4862" w:type="dxa"/>
            <w:shd w:val="clear" w:color="auto" w:fill="auto"/>
            <w:noWrap/>
          </w:tcPr>
          <w:p>
            <w:pP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四川千州矿业有限公司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成都市鼎诺科化工有限公司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成都市楠菲微电子有限公司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成都环贸通达供应链有限公司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成都富森美进出口贸易有限公司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成都奥能斯科技有限公司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成都立善进出口贸易有限公司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四川丝纶兴进出口贸易有限公司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成都市易冲半导体有限公司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安谋西部科技研发有限公司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四川恒锐通能源科技有限公司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支持条款一：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支持贸易型外贸企业稳存量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成都英格瑞德科技有限公司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支持生产型外贸企业稳存量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澳科利耳医疗器械（成都）有限公司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支持生产型外贸企业稳存量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成都美溢德生物技术有限公司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支持生产型外贸企业稳存量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四川米来供应链管理有限公司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成都天府荣和电子商务有限公司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成都方海供应链管理有限公司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成都国西供应链管理有限公司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成都锦安顺供应链管理有限公司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厚普创优（成都）网络科技有限公司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成都云博供应链管理有限公司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成都伯福因科技有限公司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四川燕养堂生物科技有限公司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古司奇（成都）贸易有限公司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成都澳云供应链管理有限公司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阿奥艾斯国际物流（成都）有限公司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40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成都市蓉欧顺捷国际物流有限责任公司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支持条款四：支持入驻天府新区成都片区保税物流中心（B型）企业扩大进出口规模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Cs w:val="21"/>
                <w:lang w:bidi="ar"/>
              </w:rPr>
              <w:t>15</w:t>
            </w:r>
          </w:p>
        </w:tc>
      </w:tr>
    </w:tbl>
    <w:p>
      <w:pPr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spacing w:line="600" w:lineRule="exact"/>
        <w:rPr>
          <w:rFonts w:ascii="方正黑体_GBK" w:hAnsi="Times New Roman" w:eastAsia="方正黑体_GBK" w:cs="Times New Roman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附件2</w:t>
      </w:r>
    </w:p>
    <w:p>
      <w:pPr>
        <w:spacing w:line="600" w:lineRule="exact"/>
        <w:rPr>
          <w:rFonts w:hint="eastAsia" w:ascii="方正黑体_GBK" w:hAnsi="Times New Roman" w:eastAsia="方正黑体_GBK" w:cs="Times New Roman"/>
          <w:bCs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2022</w:t>
      </w:r>
      <w:r>
        <w:rPr>
          <w:rFonts w:hint="eastAsia" w:ascii="方正小标宋_GBK" w:eastAsia="方正小标宋_GBK"/>
          <w:sz w:val="44"/>
          <w:szCs w:val="44"/>
        </w:rPr>
        <w:t>年度</w:t>
      </w:r>
      <w:r>
        <w:rPr>
          <w:rFonts w:ascii="方正小标宋_GBK" w:eastAsia="方正小标宋_GBK"/>
          <w:sz w:val="44"/>
          <w:szCs w:val="44"/>
        </w:rPr>
        <w:t>《四川天府新区促进对外贸易高质量发展若干政策》拟支持企业名单</w:t>
      </w:r>
    </w:p>
    <w:p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tbl>
      <w:tblPr>
        <w:tblStyle w:val="5"/>
        <w:tblW w:w="10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3627"/>
        <w:gridCol w:w="4533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2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53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color w:val="000000"/>
                <w:kern w:val="0"/>
                <w:sz w:val="24"/>
                <w:szCs w:val="24"/>
              </w:rPr>
              <w:t>支持条款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拟支持金额</w:t>
            </w:r>
          </w:p>
          <w:p>
            <w:pPr>
              <w:widowControl/>
              <w:spacing w:line="400" w:lineRule="exact"/>
              <w:jc w:val="center"/>
              <w:rPr>
                <w:rFonts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黑体_GBK" w:hAnsi="Times New Roman" w:eastAsia="方正黑体_GBK" w:cs="Times New Roman"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27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bidi="ar"/>
              </w:rPr>
              <w:t>成都天投产业投资有限公司</w:t>
            </w:r>
          </w:p>
        </w:tc>
        <w:tc>
          <w:tcPr>
            <w:tcW w:w="4533" w:type="dxa"/>
            <w:shd w:val="clear" w:color="auto" w:fill="auto"/>
            <w:noWrap/>
          </w:tcPr>
          <w:p>
            <w:pP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支持条款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七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支持企业降低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场地租赁成本</w:t>
            </w:r>
          </w:p>
        </w:tc>
        <w:tc>
          <w:tcPr>
            <w:tcW w:w="195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等线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bidi="ar"/>
              </w:rPr>
              <w:t>1189.782279</w:t>
            </w:r>
          </w:p>
        </w:tc>
      </w:tr>
    </w:tbl>
    <w:p>
      <w:pPr>
        <w:rPr>
          <w:rFonts w:hint="eastAsia" w:ascii="Times New Roman" w:hAnsi="Times New Roman" w:eastAsia="方正仿宋_GBK" w:cs="Times New Roman"/>
          <w:bCs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jNDkxMTljMWRmYTYxOTY5MzZjNDZlMWVjNTI3NDQifQ=="/>
  </w:docVars>
  <w:rsids>
    <w:rsidRoot w:val="00466747"/>
    <w:rsid w:val="00097EE5"/>
    <w:rsid w:val="000F0FEB"/>
    <w:rsid w:val="001011E4"/>
    <w:rsid w:val="00112D7A"/>
    <w:rsid w:val="00120562"/>
    <w:rsid w:val="00184940"/>
    <w:rsid w:val="001B3B15"/>
    <w:rsid w:val="001B7684"/>
    <w:rsid w:val="001E26FB"/>
    <w:rsid w:val="001F2F87"/>
    <w:rsid w:val="00202DF8"/>
    <w:rsid w:val="00223FBF"/>
    <w:rsid w:val="002333C2"/>
    <w:rsid w:val="00272EB7"/>
    <w:rsid w:val="002B158A"/>
    <w:rsid w:val="0034500C"/>
    <w:rsid w:val="00365099"/>
    <w:rsid w:val="003955F4"/>
    <w:rsid w:val="003F1FD6"/>
    <w:rsid w:val="00435439"/>
    <w:rsid w:val="00441B28"/>
    <w:rsid w:val="00466747"/>
    <w:rsid w:val="004B1AFB"/>
    <w:rsid w:val="004D2433"/>
    <w:rsid w:val="004D6B59"/>
    <w:rsid w:val="004E7930"/>
    <w:rsid w:val="00560D94"/>
    <w:rsid w:val="0060786E"/>
    <w:rsid w:val="006B10CC"/>
    <w:rsid w:val="006B45A3"/>
    <w:rsid w:val="006D492D"/>
    <w:rsid w:val="006D6615"/>
    <w:rsid w:val="0072478F"/>
    <w:rsid w:val="00726176"/>
    <w:rsid w:val="00755748"/>
    <w:rsid w:val="00756F86"/>
    <w:rsid w:val="0077053A"/>
    <w:rsid w:val="007D7562"/>
    <w:rsid w:val="008955F0"/>
    <w:rsid w:val="00917D06"/>
    <w:rsid w:val="00932F80"/>
    <w:rsid w:val="009849B5"/>
    <w:rsid w:val="009B3839"/>
    <w:rsid w:val="00A50880"/>
    <w:rsid w:val="00A946FF"/>
    <w:rsid w:val="00AF32FB"/>
    <w:rsid w:val="00B128FF"/>
    <w:rsid w:val="00D50DE8"/>
    <w:rsid w:val="00D94E8D"/>
    <w:rsid w:val="00E0140C"/>
    <w:rsid w:val="00E67FC4"/>
    <w:rsid w:val="00EC046B"/>
    <w:rsid w:val="00F663CC"/>
    <w:rsid w:val="00FB08D4"/>
    <w:rsid w:val="00FC68C2"/>
    <w:rsid w:val="12F2617C"/>
    <w:rsid w:val="17531970"/>
    <w:rsid w:val="25D7082F"/>
    <w:rsid w:val="267E3536"/>
    <w:rsid w:val="293B2067"/>
    <w:rsid w:val="2ACD3FAF"/>
    <w:rsid w:val="3995038E"/>
    <w:rsid w:val="49227764"/>
    <w:rsid w:val="70B14DA6"/>
    <w:rsid w:val="75A44BC2"/>
    <w:rsid w:val="78B502A7"/>
    <w:rsid w:val="FB97D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266</Words>
  <Characters>1517</Characters>
  <Lines>12</Lines>
  <Paragraphs>3</Paragraphs>
  <TotalTime>10</TotalTime>
  <ScaleCrop>false</ScaleCrop>
  <LinksUpToDate>false</LinksUpToDate>
  <CharactersWithSpaces>1780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2023-03-28T11:24:00Z</dcterms:created>
  <dc:creator>QHTF</dc:creator>
  <cp:lastModifiedBy>ｃｈｏｃｏｌａｔ</cp:lastModifiedBy>
  <cp:lastPrinted>2023-08-01T06:41:00Z</cp:lastPrinted>
  <dcterms:modified xsi:type="dcterms:W3CDTF">2023-12-08T01:02:38Z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032397B1D6314503B46A78EEE44C23CE_13</vt:lpwstr>
  </property>
</Properties>
</file>