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spacing w:before="416" w:line="219" w:lineRule="auto"/>
        <w:outlineLvl w:val="0"/>
        <w:jc w:val="right"/>
        <w:rPr>
          <w:rFonts w:ascii="SimSun" w:hAnsi="SimSun" w:eastAsia="SimSun" w:cs="SimSun"/>
          <w:sz w:val="128"/>
          <w:szCs w:val="128"/>
        </w:rPr>
      </w:pPr>
      <w:r>
        <w:rPr>
          <w:rFonts w:ascii="SimSun" w:hAnsi="SimSun" w:eastAsia="SimSun" w:cs="SimSun"/>
          <w:sz w:val="128"/>
          <w:szCs w:val="128"/>
          <w:b/>
          <w:bCs/>
          <w:color w:val="EB1700"/>
          <w:spacing w:val="-84"/>
          <w:w w:val="68"/>
        </w:rPr>
        <w:t>成都市市场监督管理局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2849"/>
        <w:spacing w:before="104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3"/>
        </w:rPr>
        <w:t>成市监发〔2023〕61</w:t>
      </w:r>
      <w:r>
        <w:rPr>
          <w:rFonts w:ascii="FangSong" w:hAnsi="FangSong" w:eastAsia="FangSong" w:cs="FangSong"/>
          <w:sz w:val="32"/>
          <w:szCs w:val="32"/>
          <w:spacing w:val="-7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3"/>
        </w:rPr>
        <w:t>号</w:t>
      </w:r>
    </w:p>
    <w:p>
      <w:pPr>
        <w:spacing w:before="94" w:line="60" w:lineRule="exact"/>
        <w:rPr/>
      </w:pPr>
      <w:r>
        <w:rPr>
          <w:position w:val="-1"/>
        </w:rPr>
        <w:drawing>
          <wp:inline distT="0" distB="0" distL="0" distR="0">
            <wp:extent cx="5486393" cy="3804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6393" cy="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995"/>
        <w:spacing w:before="150" w:line="219" w:lineRule="auto"/>
        <w:rPr>
          <w:rFonts w:ascii="SimSun" w:hAnsi="SimSun" w:eastAsia="SimSun" w:cs="SimSun"/>
          <w:sz w:val="46"/>
          <w:szCs w:val="46"/>
        </w:rPr>
      </w:pPr>
      <w:r>
        <w:rPr>
          <w:rFonts w:ascii="SimSun" w:hAnsi="SimSun" w:eastAsia="SimSun" w:cs="SimSun"/>
          <w:sz w:val="46"/>
          <w:szCs w:val="46"/>
          <w:b/>
          <w:bCs/>
          <w:spacing w:val="-44"/>
        </w:rPr>
        <w:t>成都市市场监督管理局等二十个部门</w:t>
      </w:r>
    </w:p>
    <w:p>
      <w:pPr>
        <w:ind w:left="476"/>
        <w:spacing w:before="21" w:line="219" w:lineRule="auto"/>
        <w:rPr>
          <w:rFonts w:ascii="SimSun" w:hAnsi="SimSun" w:eastAsia="SimSun" w:cs="SimSun"/>
          <w:sz w:val="46"/>
          <w:szCs w:val="46"/>
        </w:rPr>
      </w:pPr>
      <w:r>
        <w:rPr>
          <w:rFonts w:ascii="SimSun" w:hAnsi="SimSun" w:eastAsia="SimSun" w:cs="SimSun"/>
          <w:sz w:val="46"/>
          <w:szCs w:val="46"/>
          <w:b/>
          <w:bCs/>
          <w:spacing w:val="-34"/>
        </w:rPr>
        <w:t>关于印发《促进个体经济高质量发展成都</w:t>
      </w:r>
    </w:p>
    <w:p>
      <w:pPr>
        <w:ind w:left="1205"/>
        <w:spacing w:before="27" w:line="219" w:lineRule="auto"/>
        <w:rPr>
          <w:rFonts w:ascii="SimSun" w:hAnsi="SimSun" w:eastAsia="SimSun" w:cs="SimSun"/>
          <w:sz w:val="46"/>
          <w:szCs w:val="46"/>
        </w:rPr>
      </w:pPr>
      <w:r>
        <w:rPr>
          <w:rFonts w:ascii="SimSun" w:hAnsi="SimSun" w:eastAsia="SimSun" w:cs="SimSun"/>
          <w:sz w:val="46"/>
          <w:szCs w:val="46"/>
          <w:b/>
          <w:bCs/>
          <w:spacing w:val="-44"/>
        </w:rPr>
        <w:t>“个转企”三年行动方案》的通知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39" w:right="145"/>
        <w:spacing w:before="108" w:line="313" w:lineRule="auto"/>
        <w:jc w:val="both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24"/>
        </w:rPr>
        <w:t>市级有关部门，各区(市)县新闻出版、市场监管、经信、教育、</w:t>
      </w:r>
      <w:r>
        <w:rPr>
          <w:rFonts w:ascii="FangSong" w:hAnsi="FangSong" w:eastAsia="FangSong" w:cs="FangSong"/>
          <w:sz w:val="33"/>
          <w:szCs w:val="33"/>
        </w:rPr>
        <w:t xml:space="preserve"> </w:t>
      </w:r>
      <w:r>
        <w:rPr>
          <w:rFonts w:ascii="FangSong" w:hAnsi="FangSong" w:eastAsia="FangSong" w:cs="FangSong"/>
          <w:sz w:val="33"/>
          <w:szCs w:val="33"/>
          <w:spacing w:val="-36"/>
        </w:rPr>
        <w:t>人社、规划和自然资源、住建、农业农村、商务、文广旅、卫健、</w:t>
      </w:r>
      <w:r>
        <w:rPr>
          <w:rFonts w:ascii="FangSong" w:hAnsi="FangSong" w:eastAsia="FangSong" w:cs="FangSong"/>
          <w:sz w:val="33"/>
          <w:szCs w:val="33"/>
          <w:spacing w:val="18"/>
        </w:rPr>
        <w:t xml:space="preserve"> </w:t>
      </w:r>
      <w:r>
        <w:rPr>
          <w:rFonts w:ascii="FangSong" w:hAnsi="FangSong" w:eastAsia="FangSong" w:cs="FangSong"/>
          <w:sz w:val="33"/>
          <w:szCs w:val="33"/>
          <w:spacing w:val="-30"/>
        </w:rPr>
        <w:t>应急、体育、统计、金融、医保、行政审批、税务、邮政管理部</w:t>
      </w:r>
    </w:p>
    <w:p>
      <w:pPr>
        <w:ind w:left="139"/>
        <w:spacing w:before="1" w:line="221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31"/>
        </w:rPr>
        <w:t>门，各金融机构：</w:t>
      </w:r>
    </w:p>
    <w:p>
      <w:pPr>
        <w:ind w:left="139" w:right="289" w:firstLine="620"/>
        <w:spacing w:before="154" w:line="306" w:lineRule="auto"/>
        <w:jc w:val="both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25"/>
        </w:rPr>
        <w:t>为深入贯彻落实《促进个体工商户发展条例》,促进个体经</w:t>
      </w:r>
      <w:r>
        <w:rPr>
          <w:rFonts w:ascii="FangSong" w:hAnsi="FangSong" w:eastAsia="FangSong" w:cs="FangSong"/>
          <w:sz w:val="33"/>
          <w:szCs w:val="33"/>
          <w:spacing w:val="15"/>
        </w:rPr>
        <w:t xml:space="preserve"> </w:t>
      </w:r>
      <w:r>
        <w:rPr>
          <w:rFonts w:ascii="FangSong" w:hAnsi="FangSong" w:eastAsia="FangSong" w:cs="FangSong"/>
          <w:sz w:val="33"/>
          <w:szCs w:val="33"/>
          <w:spacing w:val="-30"/>
        </w:rPr>
        <w:t>济高质量发展，扎实做好“个转企”工作，成都市市场监</w:t>
      </w:r>
      <w:r>
        <w:rPr>
          <w:rFonts w:ascii="FangSong" w:hAnsi="FangSong" w:eastAsia="FangSong" w:cs="FangSong"/>
          <w:sz w:val="33"/>
          <w:szCs w:val="33"/>
          <w:spacing w:val="-31"/>
        </w:rPr>
        <w:t>督管理</w:t>
      </w:r>
    </w:p>
    <w:p>
      <w:pPr>
        <w:spacing w:before="1" w:line="218" w:lineRule="auto"/>
        <w:jc w:val="right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spacing w:val="-19"/>
        </w:rPr>
        <w:t>局等20部门联合制定《促进个体经济高质量发展成都“个转企”</w:t>
      </w:r>
    </w:p>
    <w:p>
      <w:pPr>
        <w:spacing w:line="218" w:lineRule="auto"/>
        <w:sectPr>
          <w:footerReference w:type="default" r:id="rId1"/>
          <w:pgSz w:w="11910" w:h="16830"/>
          <w:pgMar w:top="1430" w:right="1359" w:bottom="2041" w:left="1720" w:header="0" w:footer="1742" w:gutter="0"/>
        </w:sectPr>
        <w:rPr>
          <w:rFonts w:ascii="FangSong" w:hAnsi="FangSong" w:eastAsia="FangSong" w:cs="FangSong"/>
          <w:sz w:val="33"/>
          <w:szCs w:val="33"/>
        </w:rPr>
      </w:pPr>
    </w:p>
    <w:p>
      <w:pPr>
        <w:pStyle w:val="BodyText"/>
        <w:spacing w:line="272" w:lineRule="auto"/>
        <w:rPr/>
      </w:pP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1168384</wp:posOffset>
            </wp:positionH>
            <wp:positionV relativeFrom="page">
              <wp:posOffset>9412980</wp:posOffset>
            </wp:positionV>
            <wp:extent cx="628699" cy="16737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699" cy="1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4444989</wp:posOffset>
            </wp:positionH>
            <wp:positionV relativeFrom="page">
              <wp:posOffset>2000294</wp:posOffset>
            </wp:positionV>
            <wp:extent cx="1536695" cy="1536691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6695" cy="153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4648203</wp:posOffset>
            </wp:positionH>
            <wp:positionV relativeFrom="page">
              <wp:posOffset>3848086</wp:posOffset>
            </wp:positionV>
            <wp:extent cx="1447832" cy="1447774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7832" cy="144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4387813</wp:posOffset>
            </wp:positionH>
            <wp:positionV relativeFrom="page">
              <wp:posOffset>5289555</wp:posOffset>
            </wp:positionV>
            <wp:extent cx="1479596" cy="1460492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9596" cy="146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4533929</wp:posOffset>
            </wp:positionH>
            <wp:positionV relativeFrom="page">
              <wp:posOffset>6750047</wp:posOffset>
            </wp:positionV>
            <wp:extent cx="1409639" cy="1397011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9639" cy="1397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5067336</wp:posOffset>
            </wp:positionH>
            <wp:positionV relativeFrom="page">
              <wp:posOffset>7969226</wp:posOffset>
            </wp:positionV>
            <wp:extent cx="1460462" cy="1447774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0462" cy="144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249"/>
        <w:spacing w:before="98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5"/>
        </w:rPr>
        <w:t>三年行动方案》,现印发给你们，请根据工作任务和分工</w:t>
      </w:r>
      <w:r>
        <w:rPr>
          <w:rFonts w:ascii="FangSong" w:hAnsi="FangSong" w:eastAsia="FangSong" w:cs="FangSong"/>
          <w:sz w:val="30"/>
          <w:szCs w:val="30"/>
          <w:spacing w:val="4"/>
        </w:rPr>
        <w:t>，认真</w:t>
      </w:r>
    </w:p>
    <w:p>
      <w:pPr>
        <w:ind w:left="249"/>
        <w:spacing w:before="223"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0"/>
        </w:rPr>
        <w:t>贯彻执行。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860"/>
        <w:spacing w:before="98" w:line="222" w:lineRule="auto"/>
        <w:rPr>
          <w:rFonts w:ascii="FangSong" w:hAnsi="FangSong" w:eastAsia="FangSong" w:cs="FangSong"/>
          <w:sz w:val="30"/>
          <w:szCs w:val="30"/>
        </w:rPr>
      </w:pPr>
      <w:r>
        <w:pict>
          <v:shape id="_x0000_s2" style="position:absolute;margin-left:271.001pt;margin-top:4.4152pt;mso-position-vertical-relative:text;mso-position-horizontal-relative:text;width:122.95pt;height:20.0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2" w:lineRule="auto"/>
                    <w:rPr>
                      <w:rFonts w:ascii="FangSong" w:hAnsi="FangSong" w:eastAsia="FangSong" w:cs="FangSong"/>
                      <w:sz w:val="30"/>
                      <w:szCs w:val="30"/>
                    </w:rPr>
                  </w:pPr>
                  <w:r>
                    <w:rPr>
                      <w:rFonts w:ascii="FangSong" w:hAnsi="FangSong" w:eastAsia="FangSong" w:cs="FangSong"/>
                      <w:sz w:val="30"/>
                      <w:szCs w:val="30"/>
                      <w:spacing w:val="2"/>
                    </w:rPr>
                    <w:t>成都市新闻出版局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774738</wp:posOffset>
            </wp:positionH>
            <wp:positionV relativeFrom="paragraph">
              <wp:posOffset>-984560</wp:posOffset>
            </wp:positionV>
            <wp:extent cx="1473167" cy="1485927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3167" cy="14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30"/>
          <w:szCs w:val="30"/>
        </w:rPr>
        <w:t>成都市市场监督管理局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860"/>
        <w:spacing w:before="98" w:line="221" w:lineRule="auto"/>
        <w:rPr>
          <w:rFonts w:ascii="FangSong" w:hAnsi="FangSong" w:eastAsia="FangSong" w:cs="FangSong"/>
          <w:sz w:val="30"/>
          <w:szCs w:val="30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831837</wp:posOffset>
            </wp:positionH>
            <wp:positionV relativeFrom="paragraph">
              <wp:posOffset>-520318</wp:posOffset>
            </wp:positionV>
            <wp:extent cx="1409715" cy="1422339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9715" cy="1422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" style="position:absolute;margin-left:294.999pt;margin-top:2.46262pt;mso-position-vertical-relative:text;mso-position-horizontal-relative:text;width:90.8pt;height:20.05pt;z-index:2516643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2" w:lineRule="auto"/>
                    <w:rPr>
                      <w:rFonts w:ascii="FangSong" w:hAnsi="FangSong" w:eastAsia="FangSong" w:cs="FangSong"/>
                      <w:sz w:val="30"/>
                      <w:szCs w:val="30"/>
                    </w:rPr>
                  </w:pPr>
                  <w:r>
                    <w:rPr>
                      <w:rFonts w:ascii="FangSong" w:hAnsi="FangSong" w:eastAsia="FangSong" w:cs="FangSong"/>
                      <w:sz w:val="30"/>
                      <w:szCs w:val="30"/>
                      <w:spacing w:val="-4"/>
                    </w:rPr>
                    <w:t>成都市教育局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30"/>
          <w:szCs w:val="30"/>
          <w:spacing w:val="3"/>
        </w:rPr>
        <w:t>成都市经济和信息化局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830"/>
        <w:spacing w:before="98" w:line="221" w:lineRule="auto"/>
        <w:rPr>
          <w:rFonts w:ascii="FangSong" w:hAnsi="FangSong" w:eastAsia="FangSong" w:cs="FangSong"/>
          <w:sz w:val="30"/>
          <w:szCs w:val="30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1009640</wp:posOffset>
            </wp:positionH>
            <wp:positionV relativeFrom="paragraph">
              <wp:posOffset>-380348</wp:posOffset>
            </wp:positionV>
            <wp:extent cx="1454184" cy="1466904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4184" cy="146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6" style="position:absolute;margin-left:256.5pt;margin-top:2.9903pt;mso-position-vertical-relative:text;mso-position-horizontal-relative:text;width:166.95pt;height:20.05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2" w:lineRule="auto"/>
                    <w:rPr>
                      <w:rFonts w:ascii="FangSong" w:hAnsi="FangSong" w:eastAsia="FangSong" w:cs="FangSong"/>
                      <w:sz w:val="30"/>
                      <w:szCs w:val="30"/>
                    </w:rPr>
                  </w:pPr>
                  <w:r>
                    <w:rPr>
                      <w:rFonts w:ascii="FangSong" w:hAnsi="FangSong" w:eastAsia="FangSong" w:cs="FangSong"/>
                      <w:sz w:val="30"/>
                      <w:szCs w:val="30"/>
                      <w:spacing w:val="-1"/>
                    </w:rPr>
                    <w:t>成都市规划和自然资源局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30"/>
          <w:szCs w:val="30"/>
          <w:spacing w:val="-16"/>
        </w:rPr>
        <w:t>成都市人力资源和社会保障局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860"/>
        <w:spacing w:before="98" w:line="222" w:lineRule="auto"/>
        <w:rPr>
          <w:rFonts w:ascii="FangSong" w:hAnsi="FangSong" w:eastAsia="FangSong" w:cs="FangSong"/>
          <w:sz w:val="30"/>
          <w:szCs w:val="30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-540039</wp:posOffset>
            </wp:positionV>
            <wp:extent cx="1428773" cy="1416034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8773" cy="141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" style="position:absolute;margin-left:279.498pt;margin-top:2.40769pt;mso-position-vertical-relative:text;mso-position-horizontal-relative:text;width:121.95pt;height:20.05pt;z-index:25166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2" w:lineRule="auto"/>
                    <w:rPr>
                      <w:rFonts w:ascii="FangSong" w:hAnsi="FangSong" w:eastAsia="FangSong" w:cs="FangSong"/>
                      <w:sz w:val="30"/>
                      <w:szCs w:val="30"/>
                    </w:rPr>
                  </w:pPr>
                  <w:r>
                    <w:rPr>
                      <w:rFonts w:ascii="FangSong" w:hAnsi="FangSong" w:eastAsia="FangSong" w:cs="FangSong"/>
                      <w:sz w:val="30"/>
                      <w:szCs w:val="30"/>
                      <w:spacing w:val="-1"/>
                    </w:rPr>
                    <w:t>成都市农业农村局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30"/>
          <w:szCs w:val="30"/>
          <w:spacing w:val="3"/>
        </w:rPr>
        <w:t>成都市住房和城乡建设局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1480"/>
        <w:spacing w:before="98" w:line="222" w:lineRule="auto"/>
        <w:rPr>
          <w:rFonts w:ascii="FangSong" w:hAnsi="FangSong" w:eastAsia="FangSong" w:cs="FangSong"/>
          <w:sz w:val="30"/>
          <w:szCs w:val="30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736621</wp:posOffset>
            </wp:positionH>
            <wp:positionV relativeFrom="paragraph">
              <wp:posOffset>-565581</wp:posOffset>
            </wp:positionV>
            <wp:extent cx="1454109" cy="1473209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4109" cy="147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" style="position:absolute;margin-left:264.003pt;margin-top:4.40199pt;mso-position-vertical-relative:text;mso-position-horizontal-relative:text;width:154.45pt;height:20.05pt;z-index:25166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2" w:lineRule="auto"/>
                    <w:rPr>
                      <w:rFonts w:ascii="FangSong" w:hAnsi="FangSong" w:eastAsia="FangSong" w:cs="FangSong"/>
                      <w:sz w:val="30"/>
                      <w:szCs w:val="30"/>
                    </w:rPr>
                  </w:pPr>
                  <w:r>
                    <w:rPr>
                      <w:rFonts w:ascii="FangSong" w:hAnsi="FangSong" w:eastAsia="FangSong" w:cs="FangSong"/>
                      <w:sz w:val="30"/>
                      <w:szCs w:val="30"/>
                      <w:spacing w:val="4"/>
                    </w:rPr>
                    <w:t>成都市文化广电旅游局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30"/>
          <w:szCs w:val="30"/>
          <w:spacing w:val="1"/>
        </w:rPr>
        <w:t>成都市商务局</w:t>
      </w:r>
    </w:p>
    <w:p>
      <w:pPr>
        <w:spacing w:line="222" w:lineRule="auto"/>
        <w:sectPr>
          <w:footerReference w:type="default" r:id="rId3"/>
          <w:pgSz w:w="11910" w:h="16830"/>
          <w:pgMar w:top="1430" w:right="1630" w:bottom="2100" w:left="1589" w:header="0" w:footer="180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483"/>
        <w:spacing w:before="94" w:line="224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6"/>
        </w:rPr>
        <w:t>(此页无正文)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ind w:left="683"/>
        <w:spacing w:before="94" w:line="228" w:lineRule="auto"/>
        <w:rPr>
          <w:rFonts w:ascii="FangSong" w:hAnsi="FangSong" w:eastAsia="FangSong" w:cs="FangSong"/>
          <w:sz w:val="29"/>
          <w:szCs w:val="29"/>
        </w:rPr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643598</wp:posOffset>
            </wp:positionH>
            <wp:positionV relativeFrom="paragraph">
              <wp:posOffset>-853121</wp:posOffset>
            </wp:positionV>
            <wp:extent cx="4190953" cy="1460492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90953" cy="146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9"/>
          <w:szCs w:val="29"/>
          <w:spacing w:val="10"/>
        </w:rPr>
        <w:t>成都市卫生健康委员会</w:t>
      </w:r>
      <w:r>
        <w:rPr>
          <w:rFonts w:ascii="FangSong" w:hAnsi="FangSong" w:eastAsia="FangSong" w:cs="FangSong"/>
          <w:sz w:val="29"/>
          <w:szCs w:val="29"/>
          <w:spacing w:val="10"/>
        </w:rPr>
        <w:t xml:space="preserve">          </w:t>
      </w:r>
      <w:r>
        <w:rPr>
          <w:rFonts w:ascii="KaiTi" w:hAnsi="KaiTi" w:eastAsia="KaiTi" w:cs="KaiTi"/>
          <w:sz w:val="29"/>
          <w:szCs w:val="29"/>
          <w:spacing w:val="10"/>
        </w:rPr>
        <w:t>成</w:t>
      </w:r>
      <w:r>
        <w:rPr>
          <w:rFonts w:ascii="FangSong" w:hAnsi="FangSong" w:eastAsia="FangSong" w:cs="FangSong"/>
          <w:sz w:val="29"/>
          <w:szCs w:val="29"/>
          <w:spacing w:val="10"/>
        </w:rPr>
        <w:t>都市应急管理局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1293"/>
        <w:spacing w:before="94" w:line="222" w:lineRule="auto"/>
        <w:rPr>
          <w:rFonts w:ascii="FangSong" w:hAnsi="FangSong" w:eastAsia="FangSong" w:cs="FangSong"/>
          <w:sz w:val="29"/>
          <w:szCs w:val="29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605481</wp:posOffset>
            </wp:positionH>
            <wp:positionV relativeFrom="paragraph">
              <wp:posOffset>-745179</wp:posOffset>
            </wp:positionV>
            <wp:extent cx="4210011" cy="1460491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0011" cy="146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9"/>
          <w:szCs w:val="29"/>
          <w:spacing w:val="10"/>
          <w:position w:val="-1"/>
        </w:rPr>
        <w:t>成都市体育局</w:t>
      </w:r>
      <w:r>
        <w:rPr>
          <w:rFonts w:ascii="FangSong" w:hAnsi="FangSong" w:eastAsia="FangSong" w:cs="FangSong"/>
          <w:sz w:val="29"/>
          <w:szCs w:val="29"/>
          <w:position w:val="-1"/>
        </w:rPr>
        <w:t xml:space="preserve">                 </w:t>
      </w:r>
      <w:r>
        <w:rPr>
          <w:rFonts w:ascii="FangSong" w:hAnsi="FangSong" w:eastAsia="FangSong" w:cs="FangSong"/>
          <w:sz w:val="29"/>
          <w:szCs w:val="29"/>
          <w:spacing w:val="10"/>
          <w:position w:val="1"/>
        </w:rPr>
        <w:t>成都市统计局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673"/>
        <w:spacing w:before="95" w:line="229" w:lineRule="auto"/>
        <w:rPr>
          <w:rFonts w:ascii="FangSong" w:hAnsi="FangSong" w:eastAsia="FangSong" w:cs="FangSong"/>
          <w:sz w:val="29"/>
          <w:szCs w:val="29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707050</wp:posOffset>
            </wp:positionH>
            <wp:positionV relativeFrom="paragraph">
              <wp:posOffset>-687323</wp:posOffset>
            </wp:positionV>
            <wp:extent cx="4210253" cy="1549407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0253" cy="154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9"/>
          <w:szCs w:val="29"/>
          <w:spacing w:val="12"/>
        </w:rPr>
        <w:t>成都市地方金融监督管理局</w:t>
      </w:r>
      <w:r>
        <w:rPr>
          <w:rFonts w:ascii="FangSong" w:hAnsi="FangSong" w:eastAsia="FangSong" w:cs="FangSong"/>
          <w:sz w:val="29"/>
          <w:szCs w:val="29"/>
          <w:spacing w:val="12"/>
        </w:rPr>
        <w:t xml:space="preserve">       </w:t>
      </w:r>
      <w:r>
        <w:rPr>
          <w:rFonts w:ascii="FangSong" w:hAnsi="FangSong" w:eastAsia="FangSong" w:cs="FangSong"/>
          <w:sz w:val="29"/>
          <w:szCs w:val="29"/>
          <w:spacing w:val="12"/>
          <w:position w:val="1"/>
        </w:rPr>
        <w:t>成都市医疗</w:t>
      </w:r>
      <w:r>
        <w:rPr>
          <w:rFonts w:ascii="FangSong" w:hAnsi="FangSong" w:eastAsia="FangSong" w:cs="FangSong"/>
          <w:sz w:val="29"/>
          <w:szCs w:val="29"/>
          <w:spacing w:val="11"/>
          <w:position w:val="1"/>
        </w:rPr>
        <w:t>保障局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1143"/>
        <w:spacing w:before="94" w:line="228" w:lineRule="auto"/>
        <w:rPr>
          <w:rFonts w:ascii="FangSong" w:hAnsi="FangSong" w:eastAsia="FangSong" w:cs="FangSong"/>
          <w:sz w:val="29"/>
          <w:szCs w:val="29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1855815</wp:posOffset>
            </wp:positionH>
            <wp:positionV relativeFrom="paragraph">
              <wp:posOffset>-897828</wp:posOffset>
            </wp:positionV>
            <wp:extent cx="3042263" cy="1733546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2263" cy="173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9"/>
          <w:szCs w:val="29"/>
          <w:spacing w:val="12"/>
          <w:position w:val="-1"/>
        </w:rPr>
        <w:t>成都市网络理政办</w:t>
      </w:r>
      <w:r>
        <w:rPr>
          <w:rFonts w:ascii="FangSong" w:hAnsi="FangSong" w:eastAsia="FangSong" w:cs="FangSong"/>
          <w:sz w:val="29"/>
          <w:szCs w:val="29"/>
          <w:spacing w:val="16"/>
          <w:position w:val="-1"/>
        </w:rPr>
        <w:t xml:space="preserve">       </w:t>
      </w:r>
      <w:r>
        <w:rPr>
          <w:rFonts w:ascii="FangSong" w:hAnsi="FangSong" w:eastAsia="FangSong" w:cs="FangSong"/>
          <w:sz w:val="29"/>
          <w:szCs w:val="29"/>
          <w:spacing w:val="12"/>
        </w:rPr>
        <w:t>国家税务总局成都市税务局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spacing w:before="95" w:line="222" w:lineRule="auto"/>
        <w:jc w:val="right"/>
        <w:rPr>
          <w:rFonts w:ascii="FangSong" w:hAnsi="FangSong" w:eastAsia="FangSong" w:cs="FangSong"/>
          <w:sz w:val="25"/>
          <w:szCs w:val="25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700697</wp:posOffset>
            </wp:positionH>
            <wp:positionV relativeFrom="paragraph">
              <wp:posOffset>-1081710</wp:posOffset>
            </wp:positionV>
            <wp:extent cx="1530342" cy="1543102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0342" cy="1543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3424648</wp:posOffset>
            </wp:positionH>
            <wp:positionV relativeFrom="paragraph">
              <wp:posOffset>-440406</wp:posOffset>
            </wp:positionV>
            <wp:extent cx="1632227" cy="1644656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2227" cy="164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9"/>
          <w:szCs w:val="29"/>
          <w:spacing w:val="4"/>
        </w:rPr>
        <w:t>成都市邮政管理局</w:t>
      </w:r>
      <w:r>
        <w:rPr>
          <w:rFonts w:ascii="FangSong" w:hAnsi="FangSong" w:eastAsia="FangSong" w:cs="FangSong"/>
          <w:sz w:val="29"/>
          <w:szCs w:val="29"/>
          <w:spacing w:val="23"/>
        </w:rPr>
        <w:t xml:space="preserve">     </w:t>
      </w:r>
      <w:r>
        <w:rPr>
          <w:rFonts w:ascii="FangSong" w:hAnsi="FangSong" w:eastAsia="FangSong" w:cs="FangSong"/>
          <w:sz w:val="25"/>
          <w:szCs w:val="25"/>
          <w:spacing w:val="4"/>
        </w:rPr>
        <w:t>中国人民银行四川省分行</w:t>
      </w:r>
      <w:r>
        <w:rPr>
          <w:rFonts w:ascii="FangSong" w:hAnsi="FangSong" w:eastAsia="FangSong" w:cs="FangSong"/>
          <w:sz w:val="25"/>
          <w:szCs w:val="25"/>
          <w:spacing w:val="3"/>
        </w:rPr>
        <w:t>营业管理部</w:t>
      </w:r>
    </w:p>
    <w:p>
      <w:pPr>
        <w:ind w:left="5243"/>
        <w:spacing w:before="176" w:line="219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spacing w:val="43"/>
        </w:rPr>
        <w:t>2023年11月9日</w:t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7263"/>
        <w:spacing w:before="95" w:line="183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spacing w:val="-3"/>
        </w:rPr>
        <w:t>—3—</w:t>
      </w:r>
    </w:p>
    <w:p>
      <w:pPr>
        <w:spacing w:line="183" w:lineRule="auto"/>
        <w:sectPr>
          <w:footerReference w:type="default" r:id="rId15"/>
          <w:pgSz w:w="11910" w:h="16830"/>
          <w:pgMar w:top="1430" w:right="1724" w:bottom="400" w:left="1786" w:header="0" w:footer="0" w:gutter="0"/>
        </w:sectPr>
        <w:rPr>
          <w:rFonts w:ascii="SimSun" w:hAnsi="SimSun" w:eastAsia="SimSun" w:cs="SimSun"/>
          <w:sz w:val="29"/>
          <w:szCs w:val="29"/>
        </w:rPr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969"/>
        <w:spacing w:before="130" w:line="219" w:lineRule="auto"/>
        <w:rPr>
          <w:rFonts w:ascii="SimSun" w:hAnsi="SimSun" w:eastAsia="SimSun" w:cs="SimSun"/>
          <w:sz w:val="40"/>
          <w:szCs w:val="40"/>
        </w:rPr>
      </w:pPr>
      <w:r>
        <w:rPr>
          <w:rFonts w:ascii="SimSun" w:hAnsi="SimSun" w:eastAsia="SimSun" w:cs="SimSun"/>
          <w:sz w:val="40"/>
          <w:szCs w:val="40"/>
          <w:b/>
          <w:bCs/>
          <w:spacing w:val="12"/>
        </w:rPr>
        <w:t>促进个体经济高质量发展</w:t>
      </w:r>
    </w:p>
    <w:p>
      <w:pPr>
        <w:ind w:left="1559"/>
        <w:spacing w:before="188" w:line="219" w:lineRule="auto"/>
        <w:rPr>
          <w:rFonts w:ascii="SimSun" w:hAnsi="SimSun" w:eastAsia="SimSun" w:cs="SimSun"/>
          <w:sz w:val="40"/>
          <w:szCs w:val="40"/>
        </w:rPr>
      </w:pPr>
      <w:r>
        <w:rPr>
          <w:rFonts w:ascii="SimSun" w:hAnsi="SimSun" w:eastAsia="SimSun" w:cs="SimSun"/>
          <w:sz w:val="40"/>
          <w:szCs w:val="40"/>
          <w:b/>
          <w:bCs/>
          <w:spacing w:val="12"/>
        </w:rPr>
        <w:t>成都“个转企”三年行动方案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63" w:right="108" w:firstLine="630"/>
        <w:spacing w:before="94" w:line="331" w:lineRule="auto"/>
        <w:rPr>
          <w:rFonts w:ascii="KaiTi" w:hAnsi="KaiTi" w:eastAsia="KaiTi" w:cs="KaiTi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8"/>
        </w:rPr>
        <w:t>为深入贯彻落实《促进个体工商户发展条例》《中共中央国</w:t>
      </w:r>
      <w:r>
        <w:rPr>
          <w:rFonts w:ascii="FangSong" w:hAnsi="FangSong" w:eastAsia="FangSong" w:cs="FangSong"/>
          <w:sz w:val="29"/>
          <w:szCs w:val="29"/>
          <w:spacing w:val="1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</w:rPr>
        <w:t>务院关于促进民营经济发展壮大的意见》、《四川省民营经济发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5"/>
        </w:rPr>
        <w:t>展环境提升行动方案》</w:t>
      </w:r>
      <w:r>
        <w:rPr>
          <w:rFonts w:ascii="FangSong" w:hAnsi="FangSong" w:eastAsia="FangSong" w:cs="FangSong"/>
          <w:sz w:val="29"/>
          <w:szCs w:val="29"/>
          <w:spacing w:val="1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5"/>
        </w:rPr>
        <w:t>“1+2”政策体系、</w:t>
      </w:r>
      <w:r>
        <w:rPr>
          <w:rFonts w:ascii="FangSong" w:hAnsi="FangSong" w:eastAsia="FangSong" w:cs="FangSong"/>
          <w:sz w:val="29"/>
          <w:szCs w:val="29"/>
          <w:spacing w:val="12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5"/>
        </w:rPr>
        <w:t>《四川省“十四五”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时期“个转企”工作方案》要求，支持和引导个体工商户转型升</w:t>
      </w:r>
      <w:r>
        <w:rPr>
          <w:rFonts w:ascii="FangSong" w:hAnsi="FangSong" w:eastAsia="FangSong" w:cs="FangSong"/>
          <w:sz w:val="29"/>
          <w:szCs w:val="29"/>
          <w:spacing w:val="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级，扩大经营规模、完善治理结构、提升市场竞争力，充分发挥</w:t>
      </w:r>
      <w:r>
        <w:rPr>
          <w:rFonts w:ascii="FangSong" w:hAnsi="FangSong" w:eastAsia="FangSong" w:cs="FangSong"/>
          <w:sz w:val="29"/>
          <w:szCs w:val="29"/>
          <w:spacing w:val="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个体经济在繁荣市场、增加就业、推动创业创新、方便群众生活</w:t>
      </w:r>
      <w:r>
        <w:rPr>
          <w:rFonts w:ascii="FangSong" w:hAnsi="FangSong" w:eastAsia="FangSong" w:cs="FangSong"/>
          <w:sz w:val="29"/>
          <w:szCs w:val="29"/>
          <w:spacing w:val="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2"/>
        </w:rPr>
        <w:t>等方面重要作用，促进个体经济高质量发展，制定</w:t>
      </w:r>
      <w:r>
        <w:rPr>
          <w:rFonts w:ascii="KaiTi" w:hAnsi="KaiTi" w:eastAsia="KaiTi" w:cs="KaiTi"/>
          <w:sz w:val="29"/>
          <w:szCs w:val="29"/>
          <w:spacing w:val="12"/>
        </w:rPr>
        <w:t>2023-2025三</w:t>
      </w:r>
    </w:p>
    <w:p>
      <w:pPr>
        <w:ind w:left="63"/>
        <w:spacing w:before="1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2"/>
        </w:rPr>
        <w:t>年行动方案。</w:t>
      </w:r>
    </w:p>
    <w:p>
      <w:pPr>
        <w:ind w:left="667"/>
        <w:spacing w:before="183" w:line="222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spacing w:val="-5"/>
        </w:rPr>
        <w:t>一</w:t>
      </w:r>
      <w:r>
        <w:rPr>
          <w:rFonts w:ascii="SimHei" w:hAnsi="SimHei" w:eastAsia="SimHei" w:cs="SimHei"/>
          <w:sz w:val="29"/>
          <w:szCs w:val="29"/>
          <w:spacing w:val="-37"/>
        </w:rPr>
        <w:t xml:space="preserve"> </w:t>
      </w:r>
      <w:r>
        <w:rPr>
          <w:rFonts w:ascii="SimHei" w:hAnsi="SimHei" w:eastAsia="SimHei" w:cs="SimHei"/>
          <w:sz w:val="29"/>
          <w:szCs w:val="29"/>
          <w:b/>
          <w:bCs/>
          <w:spacing w:val="-5"/>
        </w:rPr>
        <w:t>、总体要求</w:t>
      </w:r>
    </w:p>
    <w:p>
      <w:pPr>
        <w:ind w:left="63" w:firstLine="739"/>
        <w:spacing w:before="162" w:line="331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spacing w:val="20"/>
        </w:rPr>
        <w:t>(</w:t>
      </w:r>
      <w:r>
        <w:rPr>
          <w:rFonts w:ascii="KaiTi" w:hAnsi="KaiTi" w:eastAsia="KaiTi" w:cs="KaiTi"/>
          <w:sz w:val="29"/>
          <w:szCs w:val="29"/>
          <w:spacing w:val="-54"/>
        </w:rPr>
        <w:t xml:space="preserve"> </w:t>
      </w:r>
      <w:r>
        <w:rPr>
          <w:rFonts w:ascii="KaiTi" w:hAnsi="KaiTi" w:eastAsia="KaiTi" w:cs="KaiTi"/>
          <w:sz w:val="29"/>
          <w:szCs w:val="29"/>
          <w:spacing w:val="20"/>
        </w:rPr>
        <w:t>一</w:t>
      </w:r>
      <w:r>
        <w:rPr>
          <w:rFonts w:ascii="KaiTi" w:hAnsi="KaiTi" w:eastAsia="KaiTi" w:cs="KaiTi"/>
          <w:sz w:val="29"/>
          <w:szCs w:val="29"/>
          <w:spacing w:val="-78"/>
        </w:rPr>
        <w:t xml:space="preserve"> </w:t>
      </w:r>
      <w:r>
        <w:rPr>
          <w:rFonts w:ascii="KaiTi" w:hAnsi="KaiTi" w:eastAsia="KaiTi" w:cs="KaiTi"/>
          <w:sz w:val="29"/>
          <w:szCs w:val="29"/>
          <w:spacing w:val="20"/>
        </w:rPr>
        <w:t>)指导思想</w:t>
      </w:r>
      <w:r>
        <w:rPr>
          <w:rFonts w:ascii="FangSong" w:hAnsi="FangSong" w:eastAsia="FangSong" w:cs="FangSong"/>
          <w:sz w:val="29"/>
          <w:szCs w:val="29"/>
          <w:spacing w:val="20"/>
        </w:rPr>
        <w:t>。以习近平新时代中国特色社会主义思想</w:t>
      </w:r>
      <w:r>
        <w:rPr>
          <w:rFonts w:ascii="FangSong" w:hAnsi="FangSong" w:eastAsia="FangSong" w:cs="FangSong"/>
          <w:sz w:val="29"/>
          <w:szCs w:val="29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-1"/>
        </w:rPr>
        <w:t>为指导，深入落实习近平总书记对四川及对成都工作系列重要</w:t>
      </w:r>
      <w:r>
        <w:rPr>
          <w:rFonts w:ascii="FangSong" w:hAnsi="FangSong" w:eastAsia="FangSong" w:cs="FangSong"/>
          <w:sz w:val="29"/>
          <w:szCs w:val="29"/>
          <w:spacing w:val="-2"/>
        </w:rPr>
        <w:t>指示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精神，按照党中央国务院和省委省政府促进民营经济发展有关</w:t>
      </w:r>
      <w:r>
        <w:rPr>
          <w:rFonts w:ascii="FangSong" w:hAnsi="FangSong" w:eastAsia="FangSong" w:cs="FangSong"/>
          <w:sz w:val="29"/>
          <w:szCs w:val="29"/>
          <w:spacing w:val="8"/>
        </w:rPr>
        <w:t>决</w:t>
      </w:r>
      <w:r>
        <w:rPr>
          <w:rFonts w:ascii="FangSong" w:hAnsi="FangSong" w:eastAsia="FangSong" w:cs="FangSong"/>
          <w:sz w:val="29"/>
          <w:szCs w:val="29"/>
          <w:spacing w:val="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4"/>
        </w:rPr>
        <w:t>策部署，坚持“两个毫不动摇”,鼓励、支持、引导非公有制</w:t>
      </w:r>
      <w:r>
        <w:rPr>
          <w:rFonts w:ascii="FangSong" w:hAnsi="FangSong" w:eastAsia="FangSong" w:cs="FangSong"/>
          <w:sz w:val="29"/>
          <w:szCs w:val="29"/>
          <w:spacing w:val="13"/>
        </w:rPr>
        <w:t>经</w:t>
      </w:r>
      <w:r>
        <w:rPr>
          <w:rFonts w:ascii="FangSong" w:hAnsi="FangSong" w:eastAsia="FangSong" w:cs="FangSong"/>
          <w:sz w:val="29"/>
          <w:szCs w:val="29"/>
          <w:spacing w:val="13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"/>
        </w:rPr>
        <w:t>济发展，优化民营经济发展环境，通过改革创新破解体制性障碍、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1"/>
        </w:rPr>
        <w:t>机制性梗阻、政策性堵点，畅通“个转企”各领域、环节，促进个</w:t>
      </w:r>
      <w:r>
        <w:rPr>
          <w:rFonts w:ascii="FangSong" w:hAnsi="FangSong" w:eastAsia="FangSong" w:cs="FangSong"/>
          <w:sz w:val="29"/>
          <w:szCs w:val="29"/>
          <w:spacing w:val="-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2"/>
        </w:rPr>
        <w:t>体工商户转型升级、做大做优做强，优化市场主体结构，助</w:t>
      </w:r>
    </w:p>
    <w:p>
      <w:pPr>
        <w:ind w:left="63"/>
        <w:spacing w:before="1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3"/>
        </w:rPr>
        <w:t>推全市经济高质量发展。</w:t>
      </w:r>
    </w:p>
    <w:p>
      <w:pPr>
        <w:ind w:left="817"/>
        <w:spacing w:before="170" w:line="225" w:lineRule="auto"/>
        <w:rPr>
          <w:rFonts w:ascii="KaiTi" w:hAnsi="KaiTi" w:eastAsia="KaiTi" w:cs="KaiTi"/>
          <w:sz w:val="29"/>
          <w:szCs w:val="29"/>
        </w:rPr>
      </w:pPr>
      <w:r>
        <w:rPr>
          <w:rFonts w:ascii="KaiTi" w:hAnsi="KaiTi" w:eastAsia="KaiTi" w:cs="KaiTi"/>
          <w:sz w:val="29"/>
          <w:szCs w:val="29"/>
          <w:b/>
          <w:bCs/>
          <w:spacing w:val="34"/>
        </w:rPr>
        <w:t>(二)基本原则</w:t>
      </w:r>
    </w:p>
    <w:p>
      <w:pPr>
        <w:ind w:right="30"/>
        <w:spacing w:before="139" w:line="221" w:lineRule="auto"/>
        <w:jc w:val="righ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1"/>
        </w:rPr>
        <w:t>突出标准引领，坚持科学推进。根据个体工商户行业特点、</w:t>
      </w:r>
    </w:p>
    <w:p>
      <w:pPr>
        <w:spacing w:line="221" w:lineRule="auto"/>
        <w:sectPr>
          <w:footerReference w:type="default" r:id="rId22"/>
          <w:pgSz w:w="11910" w:h="16830"/>
          <w:pgMar w:top="1430" w:right="1554" w:bottom="2088" w:left="1786" w:header="0" w:footer="1805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43"/>
        <w:spacing w:before="97" w:line="603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6"/>
          <w:position w:val="22"/>
        </w:rPr>
        <w:t>规模大小建立转型标准，结合法律法规要求和个体工商户转型</w:t>
      </w:r>
    </w:p>
    <w:p>
      <w:pPr>
        <w:ind w:left="43"/>
        <w:spacing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1"/>
        </w:rPr>
        <w:t>意愿，采取针对性措施，分类施策，有力有序推进。</w:t>
      </w:r>
    </w:p>
    <w:p>
      <w:pPr>
        <w:ind w:left="43" w:right="173" w:firstLine="620"/>
        <w:spacing w:before="253" w:line="319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0"/>
        </w:rPr>
        <w:t>强化政策引导，坚持主体自愿。创新工作举措，强化政策</w:t>
      </w:r>
      <w:r>
        <w:rPr>
          <w:rFonts w:ascii="FangSong" w:hAnsi="FangSong" w:eastAsia="FangSong" w:cs="FangSong"/>
          <w:sz w:val="30"/>
          <w:szCs w:val="30"/>
          <w:spacing w:val="1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1"/>
        </w:rPr>
        <w:t>支持，充分尊重个体工商户意愿，加大宣传力度，激发个体工</w:t>
      </w:r>
    </w:p>
    <w:p>
      <w:pPr>
        <w:ind w:left="43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商户内生动力，积极引导“个转企”。</w:t>
      </w:r>
    </w:p>
    <w:p>
      <w:pPr>
        <w:ind w:left="43" w:firstLine="620"/>
        <w:spacing w:before="144" w:line="32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3"/>
        </w:rPr>
        <w:t>强化部门协作，注重工作实效。建立转前、转中、转后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6"/>
        </w:rPr>
        <w:t>服务机制，优化审批服务，强化分工协作，协调解决“个转企”</w:t>
      </w:r>
    </w:p>
    <w:p>
      <w:pPr>
        <w:ind w:left="43"/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8"/>
        </w:rPr>
        <w:t>困难和问题。</w:t>
      </w:r>
    </w:p>
    <w:p>
      <w:pPr>
        <w:ind w:left="597"/>
        <w:spacing w:before="175" w:line="222" w:lineRule="auto"/>
        <w:outlineLvl w:val="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-27"/>
        </w:rPr>
        <w:t>二、工作目标</w:t>
      </w:r>
    </w:p>
    <w:p>
      <w:pPr>
        <w:ind w:left="43" w:right="63" w:firstLine="620"/>
        <w:spacing w:before="133" w:line="32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积极引导有意愿、有条件、应依法转型的个体工商户转型升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级为企业，到2023年底，全市“个转企”重点培育库基本建成；</w:t>
      </w:r>
      <w:r>
        <w:rPr>
          <w:rFonts w:ascii="FangSong" w:hAnsi="FangSong" w:eastAsia="FangSong" w:cs="FangSong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0"/>
        </w:rPr>
        <w:t>到2024年底，形成各部门共同参与的“个转企”工作机制和较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9"/>
        </w:rPr>
        <w:t>为完善的促进“个转企”政策体系；到2025年，企业占市场主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体总量比例进一步提高，市场主体质量持续优化。2023-202</w:t>
      </w:r>
      <w:r>
        <w:rPr>
          <w:rFonts w:ascii="FangSong" w:hAnsi="FangSong" w:eastAsia="FangSong" w:cs="FangSong"/>
          <w:sz w:val="30"/>
          <w:szCs w:val="30"/>
          <w:spacing w:val="3"/>
        </w:rPr>
        <w:t>5期</w:t>
      </w:r>
      <w:r>
        <w:rPr>
          <w:rFonts w:ascii="FangSong" w:hAnsi="FangSong" w:eastAsia="FangSong" w:cs="FangSong"/>
          <w:sz w:val="30"/>
          <w:szCs w:val="30"/>
          <w:spacing w:val="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4"/>
        </w:rPr>
        <w:t>间，全市力争引导不少于8000户个体工商户转型升级为企业，</w:t>
      </w:r>
    </w:p>
    <w:p>
      <w:pPr>
        <w:ind w:left="43"/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0"/>
        </w:rPr>
        <w:t>其中有限责任公司不少于6000户。</w:t>
      </w:r>
    </w:p>
    <w:p>
      <w:pPr>
        <w:ind w:left="617"/>
        <w:spacing w:before="164" w:line="221" w:lineRule="auto"/>
        <w:outlineLvl w:val="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-30"/>
        </w:rPr>
        <w:t>三、重点任务</w:t>
      </w:r>
    </w:p>
    <w:p>
      <w:pPr>
        <w:ind w:left="823"/>
        <w:spacing w:before="160" w:line="223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25"/>
        </w:rPr>
        <w:t>(</w:t>
      </w:r>
      <w:r>
        <w:rPr>
          <w:rFonts w:ascii="KaiTi" w:hAnsi="KaiTi" w:eastAsia="KaiTi" w:cs="KaiTi"/>
          <w:sz w:val="30"/>
          <w:szCs w:val="30"/>
          <w:spacing w:val="-88"/>
        </w:rPr>
        <w:t xml:space="preserve"> </w:t>
      </w:r>
      <w:r>
        <w:rPr>
          <w:rFonts w:ascii="KaiTi" w:hAnsi="KaiTi" w:eastAsia="KaiTi" w:cs="KaiTi"/>
          <w:sz w:val="30"/>
          <w:szCs w:val="30"/>
          <w:spacing w:val="25"/>
        </w:rPr>
        <w:t>一)建立培育机制</w:t>
      </w:r>
    </w:p>
    <w:p>
      <w:pPr>
        <w:ind w:left="43" w:right="139" w:firstLine="620"/>
        <w:spacing w:before="149" w:line="314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8"/>
        </w:rPr>
        <w:t>1.</w:t>
      </w:r>
      <w:r>
        <w:rPr>
          <w:rFonts w:ascii="FangSong" w:hAnsi="FangSong" w:eastAsia="FangSong" w:cs="FangSong"/>
          <w:sz w:val="30"/>
          <w:szCs w:val="30"/>
          <w:spacing w:val="-4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8"/>
        </w:rPr>
        <w:t>建立“个转企”重点培育库。统计部门根据税务和市场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1"/>
        </w:rPr>
        <w:t>监管部门提供的达到一般纳税人标准和符合小微企业标准个体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2"/>
        </w:rPr>
        <w:t>工商户(个人独资企业或合伙企业)的统一</w:t>
      </w:r>
      <w:r>
        <w:rPr>
          <w:rFonts w:ascii="FangSong" w:hAnsi="FangSong" w:eastAsia="FangSong" w:cs="FangSong"/>
          <w:sz w:val="30"/>
          <w:szCs w:val="30"/>
          <w:spacing w:val="11"/>
        </w:rPr>
        <w:t>社会信用代码、单位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名称、详细地址、行业类别等基本信息，综合形成“重点个体工</w:t>
      </w:r>
    </w:p>
    <w:p>
      <w:pPr>
        <w:ind w:left="43"/>
        <w:spacing w:before="2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"/>
        </w:rPr>
        <w:t>商户名录”,由市场监管部门按具体行业分别提交各行业主管部</w:t>
      </w:r>
    </w:p>
    <w:p>
      <w:pPr>
        <w:spacing w:line="220" w:lineRule="auto"/>
        <w:sectPr>
          <w:footerReference w:type="default" r:id="rId23"/>
          <w:pgSz w:w="11910" w:h="16830"/>
          <w:pgMar w:top="1430" w:right="1506" w:bottom="2008" w:left="1786" w:header="0" w:footer="171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33" w:right="22"/>
        <w:spacing w:before="98" w:line="314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门。经信、商务、文广旅、农业农村等行业主管部门对所</w:t>
      </w:r>
      <w:r>
        <w:rPr>
          <w:rFonts w:ascii="FangSong" w:hAnsi="FangSong" w:eastAsia="FangSong" w:cs="FangSong"/>
          <w:sz w:val="30"/>
          <w:szCs w:val="30"/>
          <w:spacing w:val="-2"/>
        </w:rPr>
        <w:t>管辖行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0"/>
        </w:rPr>
        <w:t>业个体工商户(个人独资企业或合伙企业)进行核</w:t>
      </w:r>
      <w:r>
        <w:rPr>
          <w:rFonts w:ascii="FangSong" w:hAnsi="FangSong" w:eastAsia="FangSong" w:cs="FangSong"/>
          <w:sz w:val="30"/>
          <w:szCs w:val="30"/>
          <w:spacing w:val="9"/>
        </w:rPr>
        <w:t>实调查，补充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完善营业收入、从业人员、信用状况、行业荣誉等信息。对没有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5"/>
        </w:rPr>
        <w:t>达到《“个转企”行业参考标准》(见附件1)的不纳入重点培</w:t>
      </w:r>
      <w:r>
        <w:rPr>
          <w:rFonts w:ascii="FangSong" w:hAnsi="FangSong" w:eastAsia="FangSong" w:cs="FangSong"/>
          <w:sz w:val="30"/>
          <w:szCs w:val="30"/>
          <w:spacing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6"/>
        </w:rPr>
        <w:t>育库，符合《依据法律法规应转型企业类别》(见附</w:t>
      </w:r>
      <w:r>
        <w:rPr>
          <w:rFonts w:ascii="FangSong" w:hAnsi="FangSong" w:eastAsia="FangSong" w:cs="FangSong"/>
          <w:sz w:val="30"/>
          <w:szCs w:val="30"/>
          <w:spacing w:val="15"/>
        </w:rPr>
        <w:t>件2)的补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充纳入重点培育库，通过成都市政务信息资源共享网站推送至市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场监管部门。重点培育库按年度实行动态调整，将转型成功的个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体工商户调整出库，将新符合条件的个体工商户纳入重点培</w:t>
      </w:r>
      <w:r>
        <w:rPr>
          <w:rFonts w:ascii="FangSong" w:hAnsi="FangSong" w:eastAsia="FangSong" w:cs="FangSong"/>
          <w:sz w:val="30"/>
          <w:szCs w:val="30"/>
          <w:spacing w:val="-1"/>
        </w:rPr>
        <w:t>育库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管理。</w:t>
      </w:r>
      <w:r>
        <w:rPr>
          <w:rFonts w:ascii="FangSong" w:hAnsi="FangSong" w:eastAsia="FangSong" w:cs="FangSong"/>
          <w:sz w:val="30"/>
          <w:szCs w:val="30"/>
          <w:spacing w:val="6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(责任单位：市市场监管局，市统计局、市税务局、市网</w:t>
      </w:r>
    </w:p>
    <w:p>
      <w:pPr>
        <w:ind w:left="33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9"/>
        </w:rPr>
        <w:t>络理政办、各行业主管部门)。</w:t>
      </w:r>
    </w:p>
    <w:p>
      <w:pPr>
        <w:ind w:left="33" w:firstLine="600"/>
        <w:spacing w:before="232" w:line="3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6"/>
        </w:rPr>
        <w:t>2.</w:t>
      </w:r>
      <w:r>
        <w:rPr>
          <w:rFonts w:ascii="FangSong" w:hAnsi="FangSong" w:eastAsia="FangSong" w:cs="FangSong"/>
          <w:sz w:val="30"/>
          <w:szCs w:val="30"/>
          <w:spacing w:val="-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开展转型辅导。对入库个体工商户，在其自愿基础上，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由各地各部门组织开展转企培训、政策宣传，安排专员服务、提</w:t>
      </w:r>
      <w:r>
        <w:rPr>
          <w:rFonts w:ascii="FangSong" w:hAnsi="FangSong" w:eastAsia="FangSong" w:cs="FangSong"/>
          <w:sz w:val="30"/>
          <w:szCs w:val="30"/>
          <w:spacing w:val="-3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供分类指导，帮助其分析发展阶段、解决困难问题，集中优势资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0"/>
        </w:rPr>
        <w:t>源精准帮扶。对已转型企业，鼓励属地政府(管委会)开展税务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培训、政银合作的融资咨询，引导其完善财务制度。充分发挥行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业商会、协会作用，开展免费线上线下经营指导类培训，提供登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记注册、纳税申报等基础服务，帮助个体工商户和转型企业正确</w:t>
      </w:r>
      <w:r>
        <w:rPr>
          <w:rFonts w:ascii="FangSong" w:hAnsi="FangSong" w:eastAsia="FangSong" w:cs="FangSong"/>
          <w:sz w:val="30"/>
          <w:szCs w:val="30"/>
          <w:spacing w:val="1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认识现代企业制度在市场竞争中的优势，增强其转型升级内</w:t>
      </w:r>
      <w:r>
        <w:rPr>
          <w:rFonts w:ascii="FangSong" w:hAnsi="FangSong" w:eastAsia="FangSong" w:cs="FangSong"/>
          <w:sz w:val="30"/>
          <w:szCs w:val="30"/>
          <w:spacing w:val="-1"/>
        </w:rPr>
        <w:t>生动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0"/>
        </w:rPr>
        <w:t>力。</w:t>
      </w:r>
      <w:r>
        <w:rPr>
          <w:rFonts w:ascii="FangSong" w:hAnsi="FangSong" w:eastAsia="FangSong" w:cs="FangSong"/>
          <w:sz w:val="30"/>
          <w:szCs w:val="30"/>
          <w:spacing w:val="7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0"/>
        </w:rPr>
        <w:t>(责任单位：市市场监管局、各行业主管部门、各区(市)</w:t>
      </w:r>
    </w:p>
    <w:p>
      <w:pPr>
        <w:ind w:left="33"/>
        <w:spacing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2"/>
        </w:rPr>
        <w:t>县</w:t>
      </w:r>
      <w:r>
        <w:rPr>
          <w:rFonts w:ascii="FangSong" w:hAnsi="FangSong" w:eastAsia="FangSong" w:cs="FangSong"/>
          <w:sz w:val="30"/>
          <w:szCs w:val="30"/>
          <w:spacing w:val="-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2"/>
        </w:rPr>
        <w:t>)</w:t>
      </w:r>
    </w:p>
    <w:p>
      <w:pPr>
        <w:ind w:left="807"/>
        <w:spacing w:before="217" w:line="224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b/>
          <w:bCs/>
          <w:spacing w:val="27"/>
        </w:rPr>
        <w:t>(二)加大政策扶持</w:t>
      </w:r>
    </w:p>
    <w:p>
      <w:pPr>
        <w:ind w:right="39"/>
        <w:spacing w:before="148" w:line="533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8"/>
          <w:position w:val="17"/>
        </w:rPr>
        <w:t>1.</w:t>
      </w:r>
      <w:r>
        <w:rPr>
          <w:rFonts w:ascii="FangSong" w:hAnsi="FangSong" w:eastAsia="FangSong" w:cs="FangSong"/>
          <w:sz w:val="30"/>
          <w:szCs w:val="30"/>
          <w:spacing w:val="-78"/>
          <w:position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8"/>
          <w:position w:val="17"/>
        </w:rPr>
        <w:t>延续个体资质。转型企业原则上可保留原个</w:t>
      </w:r>
      <w:r>
        <w:rPr>
          <w:rFonts w:ascii="FangSong" w:hAnsi="FangSong" w:eastAsia="FangSong" w:cs="FangSong"/>
          <w:sz w:val="30"/>
          <w:szCs w:val="30"/>
          <w:spacing w:val="7"/>
          <w:position w:val="17"/>
        </w:rPr>
        <w:t>体工商户获</w:t>
      </w:r>
    </w:p>
    <w:p>
      <w:pPr>
        <w:ind w:left="33"/>
        <w:spacing w:before="2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得的各种荣誉称号，市场监管部门支持其原有的专利权、商标权</w:t>
      </w:r>
    </w:p>
    <w:p>
      <w:pPr>
        <w:spacing w:line="220" w:lineRule="auto"/>
        <w:sectPr>
          <w:footerReference w:type="default" r:id="rId24"/>
          <w:pgSz w:w="11910" w:h="16830"/>
          <w:pgMar w:top="1430" w:right="1633" w:bottom="2090" w:left="1786" w:header="0" w:footer="179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33"/>
        <w:spacing w:before="97" w:line="31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0"/>
        </w:rPr>
        <w:t>等权益顺利转移至转型企业名下。转型企业申报招投标项目资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6"/>
        </w:rPr>
        <w:t>格，转型前个体工商户经营状况等历史信息，可延</w:t>
      </w:r>
      <w:r>
        <w:rPr>
          <w:rFonts w:ascii="FangSong" w:hAnsi="FangSong" w:eastAsia="FangSong" w:cs="FangSong"/>
          <w:sz w:val="30"/>
          <w:szCs w:val="30"/>
          <w:spacing w:val="-7"/>
        </w:rPr>
        <w:t>续至转型企业。</w:t>
      </w:r>
    </w:p>
    <w:p>
      <w:pPr>
        <w:ind w:left="153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9"/>
        </w:rPr>
        <w:t>(责任单位：市市场监管局，各行业主管部门、各区(市)县)</w:t>
      </w:r>
    </w:p>
    <w:p>
      <w:pPr>
        <w:ind w:left="33" w:firstLine="590"/>
        <w:spacing w:before="153" w:line="31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6"/>
        </w:rPr>
        <w:t>2.</w:t>
      </w:r>
      <w:r>
        <w:rPr>
          <w:rFonts w:ascii="FangSong" w:hAnsi="FangSong" w:eastAsia="FangSong" w:cs="FangSong"/>
          <w:sz w:val="30"/>
          <w:szCs w:val="30"/>
          <w:spacing w:val="-1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降低资产转移成本。转型前的个体工商户与转型后的企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业之间可依法划转土地、房屋，投资主体、经营场所、经营范围</w:t>
      </w:r>
      <w:r>
        <w:rPr>
          <w:rFonts w:ascii="FangSong" w:hAnsi="FangSong" w:eastAsia="FangSong" w:cs="FangSong"/>
          <w:sz w:val="30"/>
          <w:szCs w:val="30"/>
          <w:spacing w:val="3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5"/>
        </w:rPr>
        <w:t>不变的，持《个体工商户转型升级为企业证明》,</w:t>
      </w:r>
      <w:r>
        <w:rPr>
          <w:rFonts w:ascii="FangSong" w:hAnsi="FangSong" w:eastAsia="FangSong" w:cs="FangSong"/>
          <w:sz w:val="30"/>
          <w:szCs w:val="30"/>
          <w:spacing w:val="4"/>
        </w:rPr>
        <w:t>规划和自然资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0"/>
        </w:rPr>
        <w:t>源部门按照国家和省、市有关规定对小微企业免收不动产登记</w:t>
      </w:r>
      <w:r>
        <w:rPr>
          <w:rFonts w:ascii="FangSong" w:hAnsi="FangSong" w:eastAsia="FangSong" w:cs="FangSong"/>
          <w:sz w:val="30"/>
          <w:szCs w:val="30"/>
          <w:spacing w:val="1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费；对个体工商户房屋、土地权属转回原经营者个人名下，原经</w:t>
      </w:r>
      <w:r>
        <w:rPr>
          <w:rFonts w:ascii="FangSong" w:hAnsi="FangSong" w:eastAsia="FangSong" w:cs="FangSong"/>
          <w:sz w:val="30"/>
          <w:szCs w:val="30"/>
          <w:spacing w:val="-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营者个人将房屋土地权属划转至其设立的个人独资企业、</w:t>
      </w:r>
      <w:r>
        <w:rPr>
          <w:rFonts w:ascii="FangSong" w:hAnsi="FangSong" w:eastAsia="FangSong" w:cs="FangSong"/>
          <w:sz w:val="30"/>
          <w:szCs w:val="30"/>
          <w:spacing w:val="7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一</w:t>
      </w:r>
      <w:r>
        <w:rPr>
          <w:rFonts w:ascii="FangSong" w:hAnsi="FangSong" w:eastAsia="FangSong" w:cs="FangSong"/>
          <w:sz w:val="30"/>
          <w:szCs w:val="30"/>
          <w:spacing w:val="-9"/>
        </w:rPr>
        <w:t>人有</w:t>
      </w:r>
      <w:r>
        <w:rPr>
          <w:rFonts w:ascii="FangSong" w:hAnsi="FangSong" w:eastAsia="FangSong" w:cs="FangSong"/>
          <w:sz w:val="30"/>
          <w:szCs w:val="30"/>
          <w:spacing w:val="-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4"/>
        </w:rPr>
        <w:t>限公司名下，个人独资企业、</w:t>
      </w:r>
      <w:r>
        <w:rPr>
          <w:rFonts w:ascii="FangSong" w:hAnsi="FangSong" w:eastAsia="FangSong" w:cs="FangSong"/>
          <w:sz w:val="30"/>
          <w:szCs w:val="30"/>
          <w:spacing w:val="7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4"/>
        </w:rPr>
        <w:t>一人有限公司改制为有限责任公司、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股份有限公司等环节涉及的契税，符合条件的，税务部门依法免</w:t>
      </w:r>
      <w:r>
        <w:rPr>
          <w:rFonts w:ascii="FangSong" w:hAnsi="FangSong" w:eastAsia="FangSong" w:cs="FangSong"/>
          <w:sz w:val="30"/>
          <w:szCs w:val="30"/>
          <w:spacing w:val="3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2"/>
        </w:rPr>
        <w:t>征契税。(责任单位：市规划和自然资源局、市税务局，各区(市)</w:t>
      </w:r>
    </w:p>
    <w:p>
      <w:pPr>
        <w:ind w:left="33"/>
        <w:spacing w:line="222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-7"/>
        </w:rPr>
        <w:t>县</w:t>
      </w:r>
      <w:r>
        <w:rPr>
          <w:rFonts w:ascii="SimSun" w:hAnsi="SimSun" w:eastAsia="SimSun" w:cs="SimSun"/>
          <w:sz w:val="30"/>
          <w:szCs w:val="30"/>
          <w:spacing w:val="-29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7"/>
        </w:rPr>
        <w:t>)</w:t>
      </w:r>
    </w:p>
    <w:p>
      <w:pPr>
        <w:ind w:left="33" w:firstLine="590"/>
        <w:spacing w:before="229" w:line="32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3.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减轻税费负担。</w:t>
      </w:r>
      <w:r>
        <w:rPr>
          <w:rFonts w:ascii="FangSong" w:hAnsi="FangSong" w:eastAsia="FangSong" w:cs="FangSong"/>
          <w:sz w:val="30"/>
          <w:szCs w:val="30"/>
          <w:spacing w:val="-3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3"/>
        </w:rPr>
        <w:t>“个转企”后，税务部门对其实行“一</w:t>
      </w:r>
      <w:r>
        <w:rPr>
          <w:rFonts w:ascii="FangSong" w:hAnsi="FangSong" w:eastAsia="FangSong" w:cs="FangSong"/>
          <w:sz w:val="30"/>
          <w:szCs w:val="30"/>
          <w:spacing w:val="-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对一”宣传指导，帮助其及时享受国家对中小微</w:t>
      </w:r>
      <w:r>
        <w:rPr>
          <w:rFonts w:ascii="FangSong" w:hAnsi="FangSong" w:eastAsia="FangSong" w:cs="FangSong"/>
          <w:sz w:val="30"/>
          <w:szCs w:val="30"/>
          <w:spacing w:val="-7"/>
        </w:rPr>
        <w:t>企业及特定行业、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区域、环节的税收优惠政策。人社部门加强对“个转企”企业在</w:t>
      </w:r>
      <w:r>
        <w:rPr>
          <w:rFonts w:ascii="FangSong" w:hAnsi="FangSong" w:eastAsia="FangSong" w:cs="FangSong"/>
          <w:sz w:val="30"/>
          <w:szCs w:val="30"/>
          <w:spacing w:val="-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劳动用工、基本养老、失业、工伤保险参保，职业技能培训等方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1"/>
        </w:rPr>
        <w:t>面的服务和指导。落实好阶段性降低失业保险、工伤保险费率政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1"/>
        </w:rPr>
        <w:t>策、失业保险稳岗返还政策。医保部门加强对“个转企”企业在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5"/>
        </w:rPr>
        <w:t>基本医疗和生育保险等方面的服务和指导。(责任单位：</w:t>
      </w:r>
      <w:r>
        <w:rPr>
          <w:rFonts w:ascii="FangSong" w:hAnsi="FangSong" w:eastAsia="FangSong" w:cs="FangSong"/>
          <w:sz w:val="30"/>
          <w:szCs w:val="30"/>
          <w:spacing w:val="4"/>
        </w:rPr>
        <w:t>市税务</w:t>
      </w:r>
    </w:p>
    <w:p>
      <w:pPr>
        <w:ind w:left="33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4"/>
        </w:rPr>
        <w:t>局、市人社局、市医保局，各区(市)县)</w:t>
      </w:r>
    </w:p>
    <w:p>
      <w:pPr>
        <w:ind w:left="623"/>
        <w:spacing w:before="158" w:line="522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9"/>
          <w:position w:val="16"/>
        </w:rPr>
        <w:t>4.</w:t>
      </w:r>
      <w:r>
        <w:rPr>
          <w:rFonts w:ascii="FangSong" w:hAnsi="FangSong" w:eastAsia="FangSong" w:cs="FangSong"/>
          <w:sz w:val="30"/>
          <w:szCs w:val="30"/>
          <w:spacing w:val="-51"/>
          <w:position w:val="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9"/>
          <w:position w:val="16"/>
        </w:rPr>
        <w:t>支持招工就业。对转型后的中小微企业</w:t>
      </w:r>
      <w:r>
        <w:rPr>
          <w:rFonts w:ascii="FangSong" w:hAnsi="FangSong" w:eastAsia="FangSong" w:cs="FangSong"/>
          <w:sz w:val="30"/>
          <w:szCs w:val="30"/>
          <w:spacing w:val="8"/>
          <w:position w:val="16"/>
        </w:rPr>
        <w:t>招用毕业年度内</w:t>
      </w:r>
    </w:p>
    <w:p>
      <w:pPr>
        <w:ind w:left="33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高校毕业生，给予一次性吸纳就业补贴，政策实施期限截至2023</w:t>
      </w:r>
    </w:p>
    <w:p>
      <w:pPr>
        <w:spacing w:line="220" w:lineRule="auto"/>
        <w:sectPr>
          <w:footerReference w:type="default" r:id="rId25"/>
          <w:pgSz w:w="11910" w:h="16830"/>
          <w:pgMar w:top="1430" w:right="1570" w:bottom="2028" w:left="1786" w:header="0" w:footer="173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23" w:right="236"/>
        <w:spacing w:before="94" w:line="332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4"/>
        </w:rPr>
        <w:t>年12月31</w:t>
      </w:r>
      <w:r>
        <w:rPr>
          <w:rFonts w:ascii="FangSong" w:hAnsi="FangSong" w:eastAsia="FangSong" w:cs="FangSong"/>
          <w:sz w:val="29"/>
          <w:szCs w:val="29"/>
          <w:spacing w:val="14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4"/>
        </w:rPr>
        <w:t>日。对转型企业招用脱贫人口、失业半年以上人员等</w:t>
      </w:r>
      <w:r>
        <w:rPr>
          <w:rFonts w:ascii="FangSong" w:hAnsi="FangSong" w:eastAsia="FangSong" w:cs="FangSong"/>
          <w:sz w:val="29"/>
          <w:szCs w:val="29"/>
          <w:spacing w:val="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4"/>
        </w:rPr>
        <w:t>重点群体，符合相关条件的，依法落实好税收优惠政策。(责任</w:t>
      </w:r>
    </w:p>
    <w:p>
      <w:pPr>
        <w:ind w:left="23"/>
        <w:spacing w:before="1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6"/>
        </w:rPr>
        <w:t>单位：市人社局、市税务局)</w:t>
      </w:r>
    </w:p>
    <w:p>
      <w:pPr>
        <w:ind w:left="23" w:right="158" w:firstLine="590"/>
        <w:spacing w:before="153" w:line="33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8"/>
        </w:rPr>
        <w:t>5.</w:t>
      </w:r>
      <w:r>
        <w:rPr>
          <w:rFonts w:ascii="FangSong" w:hAnsi="FangSong" w:eastAsia="FangSong" w:cs="FangSong"/>
          <w:sz w:val="29"/>
          <w:szCs w:val="29"/>
          <w:spacing w:val="-3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8"/>
        </w:rPr>
        <w:t>加强金融扶持。各金融机构根据登记机关出具的《个体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5"/>
        </w:rPr>
        <w:t>工商户转型升级为企业证明》,承认转型企业的历史延</w:t>
      </w:r>
      <w:r>
        <w:rPr>
          <w:rFonts w:ascii="FangSong" w:hAnsi="FangSong" w:eastAsia="FangSong" w:cs="FangSong"/>
          <w:sz w:val="29"/>
          <w:szCs w:val="29"/>
          <w:spacing w:val="14"/>
        </w:rPr>
        <w:t>续性。为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转型企业变更银行结算账户提供便利，通过合并计算个体工商户</w:t>
      </w:r>
      <w:r>
        <w:rPr>
          <w:rFonts w:ascii="FangSong" w:hAnsi="FangSong" w:eastAsia="FangSong" w:cs="FangSong"/>
          <w:sz w:val="29"/>
          <w:szCs w:val="29"/>
          <w:spacing w:val="1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存续年限、设立绿色通道等方式为“个转企”企业提供便捷、高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9"/>
        </w:rPr>
        <w:t>效、精准的融资服务。常态化开展融资对接活动，为转型企业的</w:t>
      </w:r>
      <w:r>
        <w:rPr>
          <w:rFonts w:ascii="FangSong" w:hAnsi="FangSong" w:eastAsia="FangSong" w:cs="FangSong"/>
          <w:sz w:val="29"/>
          <w:szCs w:val="29"/>
          <w:spacing w:val="5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7"/>
        </w:rPr>
        <w:t>发展营造良好的融资环境，持续提升金融服务质效。(责任单位：</w:t>
      </w:r>
    </w:p>
    <w:p>
      <w:pPr>
        <w:ind w:left="23"/>
        <w:spacing w:before="1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6"/>
        </w:rPr>
        <w:t>市金融监管局、人行四川省分行营管部)</w:t>
      </w:r>
    </w:p>
    <w:p>
      <w:pPr>
        <w:ind w:left="23" w:firstLine="590"/>
        <w:spacing w:before="167" w:line="33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5"/>
        </w:rPr>
        <w:t>6.</w:t>
      </w:r>
      <w:r>
        <w:rPr>
          <w:rFonts w:ascii="FangSong" w:hAnsi="FangSong" w:eastAsia="FangSong" w:cs="FangSong"/>
          <w:sz w:val="29"/>
          <w:szCs w:val="29"/>
          <w:spacing w:val="-42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5"/>
        </w:rPr>
        <w:t>探索行业支持措施。各地各行业主管部门结</w:t>
      </w:r>
      <w:r>
        <w:rPr>
          <w:rFonts w:ascii="FangSong" w:hAnsi="FangSong" w:eastAsia="FangSong" w:cs="FangSong"/>
          <w:sz w:val="29"/>
          <w:szCs w:val="29"/>
          <w:spacing w:val="14"/>
        </w:rPr>
        <w:t>合“个转企”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8"/>
        </w:rPr>
        <w:t>工作中存在的堵点难点，通过向上争取政策、创新方式方法，出</w:t>
      </w:r>
      <w:r>
        <w:rPr>
          <w:rFonts w:ascii="FangSong" w:hAnsi="FangSong" w:eastAsia="FangSong" w:cs="FangSong"/>
          <w:sz w:val="29"/>
          <w:szCs w:val="29"/>
          <w:spacing w:val="8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12"/>
        </w:rPr>
        <w:t>台鼓励“个转企”的办法。从2023年开始，各地各部门分领域、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8"/>
        </w:rPr>
        <w:t>分阶段开展试点，不断总结成功经验做法，在全市推广复制，逐</w:t>
      </w:r>
      <w:r>
        <w:rPr>
          <w:rFonts w:ascii="FangSong" w:hAnsi="FangSong" w:eastAsia="FangSong" w:cs="FangSong"/>
          <w:sz w:val="29"/>
          <w:szCs w:val="29"/>
          <w:spacing w:val="8"/>
        </w:rPr>
        <w:t xml:space="preserve">  </w:t>
      </w:r>
      <w:r>
        <w:rPr>
          <w:rFonts w:ascii="FangSong" w:hAnsi="FangSong" w:eastAsia="FangSong" w:cs="FangSong"/>
          <w:sz w:val="29"/>
          <w:szCs w:val="29"/>
          <w:spacing w:val="9"/>
        </w:rPr>
        <w:t>步形成覆盖各领域的较为完善的推动行业“个转企</w:t>
      </w:r>
      <w:r>
        <w:rPr>
          <w:rFonts w:ascii="FangSong" w:hAnsi="FangSong" w:eastAsia="FangSong" w:cs="FangSong"/>
          <w:sz w:val="29"/>
          <w:szCs w:val="29"/>
          <w:spacing w:val="8"/>
        </w:rPr>
        <w:t>”发展的配套</w:t>
      </w:r>
    </w:p>
    <w:p>
      <w:pPr>
        <w:ind w:left="23"/>
        <w:spacing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"/>
        </w:rPr>
        <w:t>措施体系。</w:t>
      </w:r>
    </w:p>
    <w:p>
      <w:pPr>
        <w:ind w:left="23" w:right="261" w:firstLine="590"/>
        <w:spacing w:before="149" w:line="33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9"/>
        </w:rPr>
        <w:t>2023年，各地各行业主管部门探索研究制定优化许可变更</w:t>
      </w:r>
      <w:r>
        <w:rPr>
          <w:rFonts w:ascii="FangSong" w:hAnsi="FangSong" w:eastAsia="FangSong" w:cs="FangSong"/>
          <w:sz w:val="29"/>
          <w:szCs w:val="29"/>
          <w:spacing w:val="1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19"/>
        </w:rPr>
        <w:t>的具体办法。各区(市)县清理对工业个体工商户就地转型为企</w:t>
      </w:r>
      <w:r>
        <w:rPr>
          <w:rFonts w:ascii="FangSong" w:hAnsi="FangSong" w:eastAsia="FangSong" w:cs="FangSong"/>
          <w:sz w:val="29"/>
          <w:szCs w:val="29"/>
          <w:spacing w:val="7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3"/>
        </w:rPr>
        <w:t>业的限制政策；卫健部门做好个体诊所转型为“一人公司”,</w:t>
      </w:r>
      <w:r>
        <w:rPr>
          <w:rFonts w:ascii="FangSong" w:hAnsi="FangSong" w:eastAsia="FangSong" w:cs="FangSong"/>
          <w:sz w:val="29"/>
          <w:szCs w:val="29"/>
          <w:spacing w:val="10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20"/>
        </w:rPr>
        <w:t>“所有制形式”变更备案的指导服务；文广旅部门研究网吧经</w:t>
      </w:r>
      <w:r>
        <w:rPr>
          <w:rFonts w:ascii="FangSong" w:hAnsi="FangSong" w:eastAsia="FangSong" w:cs="FangSong"/>
          <w:sz w:val="29"/>
          <w:szCs w:val="29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31"/>
        </w:rPr>
        <w:t>营许可变更的便利化措施，简化申报材料；各</w:t>
      </w:r>
      <w:r>
        <w:rPr>
          <w:rFonts w:ascii="FangSong" w:hAnsi="FangSong" w:eastAsia="FangSong" w:cs="FangSong"/>
          <w:sz w:val="29"/>
          <w:szCs w:val="29"/>
          <w:spacing w:val="30"/>
        </w:rPr>
        <w:t>区(市)县行政</w:t>
      </w:r>
    </w:p>
    <w:p>
      <w:pPr>
        <w:ind w:left="23"/>
        <w:spacing w:before="1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12"/>
        </w:rPr>
        <w:t>审批部门研究零售药店个体工商户经营许可变更的便利化措施。</w:t>
      </w:r>
    </w:p>
    <w:p>
      <w:pPr>
        <w:ind w:left="613"/>
        <w:spacing w:before="179" w:line="219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31"/>
        </w:rPr>
        <w:t>2024年，各行业主管部门按照《“个转企”行业参考标</w:t>
      </w:r>
    </w:p>
    <w:p>
      <w:pPr>
        <w:spacing w:line="219" w:lineRule="auto"/>
        <w:sectPr>
          <w:footerReference w:type="default" r:id="rId26"/>
          <w:pgSz w:w="11910" w:h="16830"/>
          <w:pgMar w:top="1430" w:right="1466" w:bottom="2123" w:left="1786" w:header="0" w:footer="1835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23" w:right="163"/>
        <w:spacing w:before="98" w:line="32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5"/>
        </w:rPr>
        <w:t>准》(附件1)和《依据法律法规应转型企业类别》(附件2)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对应的行业类别，持续探索研究制定支持“个转企”具体办法。</w:t>
      </w:r>
    </w:p>
    <w:p>
      <w:pPr>
        <w:ind w:left="133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0"/>
        </w:rPr>
        <w:t>(责任单位：市场监管局、各行业主管部门、各区(市)县)</w:t>
      </w:r>
    </w:p>
    <w:p>
      <w:pPr>
        <w:ind w:left="23" w:firstLine="600"/>
        <w:spacing w:before="151" w:line="32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9"/>
        </w:rPr>
        <w:t>7.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9"/>
        </w:rPr>
        <w:t>配套各区域支持政策。各区(市)县对本</w:t>
      </w:r>
      <w:r>
        <w:rPr>
          <w:rFonts w:ascii="FangSong" w:hAnsi="FangSong" w:eastAsia="FangSong" w:cs="FangSong"/>
          <w:sz w:val="30"/>
          <w:szCs w:val="30"/>
          <w:spacing w:val="18"/>
        </w:rPr>
        <w:t>区域已出台的</w:t>
      </w:r>
      <w:r>
        <w:rPr>
          <w:rFonts w:ascii="FangSong" w:hAnsi="FangSong" w:eastAsia="FangSong" w:cs="FangSong"/>
          <w:sz w:val="30"/>
          <w:szCs w:val="30"/>
          <w:spacing w:val="18"/>
        </w:rPr>
        <w:t xml:space="preserve">  </w:t>
      </w:r>
      <w:r>
        <w:rPr>
          <w:rFonts w:ascii="FangSong" w:hAnsi="FangSong" w:eastAsia="FangSong" w:cs="FangSong"/>
          <w:sz w:val="30"/>
          <w:szCs w:val="30"/>
        </w:rPr>
        <w:t>各项“个转企”配套政策，要做好跟踪落实，确保转型企业对各</w:t>
      </w:r>
      <w:r>
        <w:rPr>
          <w:rFonts w:ascii="FangSong" w:hAnsi="FangSong" w:eastAsia="FangSong" w:cs="FangSong"/>
          <w:sz w:val="30"/>
          <w:szCs w:val="30"/>
        </w:rPr>
        <w:t xml:space="preserve">   </w:t>
      </w:r>
      <w:r>
        <w:rPr>
          <w:rFonts w:ascii="FangSong" w:hAnsi="FangSong" w:eastAsia="FangSong" w:cs="FangSong"/>
          <w:sz w:val="30"/>
          <w:szCs w:val="30"/>
          <w:spacing w:val="10"/>
        </w:rPr>
        <w:t>项支持政策应享尽享。对未出台相关配套政策的区(市)县，要</w:t>
      </w:r>
      <w:r>
        <w:rPr>
          <w:rFonts w:ascii="FangSong" w:hAnsi="FangSong" w:eastAsia="FangSong" w:cs="FangSong"/>
          <w:sz w:val="30"/>
          <w:szCs w:val="30"/>
          <w:spacing w:val="10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0"/>
        </w:rPr>
        <w:t>协调税务、社保、财政等相关部门，研究出台本区域“个转企”</w:t>
      </w:r>
    </w:p>
    <w:p>
      <w:pPr>
        <w:ind w:left="23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8"/>
        </w:rPr>
        <w:t>配套政策。</w:t>
      </w:r>
      <w:r>
        <w:rPr>
          <w:rFonts w:ascii="FangSong" w:hAnsi="FangSong" w:eastAsia="FangSong" w:cs="FangSong"/>
          <w:sz w:val="30"/>
          <w:szCs w:val="30"/>
          <w:spacing w:val="14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8"/>
        </w:rPr>
        <w:t>(责任单位：各区(市)县)</w:t>
      </w:r>
    </w:p>
    <w:p>
      <w:pPr>
        <w:ind w:left="797"/>
        <w:spacing w:before="144" w:line="223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b/>
          <w:bCs/>
          <w:spacing w:val="26"/>
        </w:rPr>
        <w:t>(三)便利登记审批</w:t>
      </w:r>
    </w:p>
    <w:p>
      <w:pPr>
        <w:ind w:left="23" w:right="268" w:firstLine="650"/>
        <w:spacing w:before="164" w:line="32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8"/>
        </w:rPr>
        <w:t>1.</w:t>
      </w:r>
      <w:r>
        <w:rPr>
          <w:rFonts w:ascii="FangSong" w:hAnsi="FangSong" w:eastAsia="FangSong" w:cs="FangSong"/>
          <w:sz w:val="30"/>
          <w:szCs w:val="30"/>
          <w:spacing w:val="-8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8"/>
        </w:rPr>
        <w:t>优化登记服务。在法律法规允许的前提下，登记部门可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最大限度保留原个体工商户名称中的字号和行业特</w:t>
      </w:r>
      <w:r>
        <w:rPr>
          <w:rFonts w:ascii="FangSong" w:hAnsi="FangSong" w:eastAsia="FangSong" w:cs="FangSong"/>
          <w:sz w:val="30"/>
          <w:szCs w:val="30"/>
        </w:rPr>
        <w:t>点，承继其商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1"/>
        </w:rPr>
        <w:t>号价值。登记部门按照变更登记程序办理“个转企”登记，保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留原个体工商户成立时间，允许其继续使用原个体工商户统一社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6"/>
        </w:rPr>
        <w:t>会信用代码，对不改变住所(经营场所)的，免予提交住所(经</w:t>
      </w:r>
      <w:r>
        <w:rPr>
          <w:rFonts w:ascii="FangSong" w:hAnsi="FangSong" w:eastAsia="FangSong" w:cs="FangSong"/>
          <w:sz w:val="30"/>
          <w:szCs w:val="30"/>
          <w:spacing w:val="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7"/>
        </w:rPr>
        <w:t>营场所)使用证明文件，对转型企业可适用“一照多</w:t>
      </w:r>
      <w:r>
        <w:rPr>
          <w:rFonts w:ascii="FangSong" w:hAnsi="FangSong" w:eastAsia="FangSong" w:cs="FangSong"/>
          <w:sz w:val="30"/>
          <w:szCs w:val="30"/>
          <w:spacing w:val="16"/>
        </w:rPr>
        <w:t>址”等优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0"/>
        </w:rPr>
        <w:t>惠政策。转型企业通过国家企业信用信息公示系统“经营期限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0"/>
        </w:rPr>
        <w:t>起始时间”或登记机关出具的《个体工商户转型升级为企业证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6"/>
        </w:rPr>
        <w:t>明》,证明其历史延续性。推动实施“个转企”“一件事一次</w:t>
      </w:r>
      <w:r>
        <w:rPr>
          <w:rFonts w:ascii="FangSong" w:hAnsi="FangSong" w:eastAsia="FangSong" w:cs="FangSong"/>
          <w:sz w:val="30"/>
          <w:szCs w:val="30"/>
          <w:spacing w:val="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6"/>
        </w:rPr>
        <w:t>办”,实现营业执照、印章刻制、发票申领、社保登记、银行</w:t>
      </w:r>
      <w:r>
        <w:rPr>
          <w:rFonts w:ascii="FangSong" w:hAnsi="FangSong" w:eastAsia="FangSong" w:cs="FangSong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1"/>
        </w:rPr>
        <w:t>开户、公积金缴存等事项一次办理。探索“个转企”网上办理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新路径，提升企业获得感。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6"/>
        </w:rPr>
        <w:t>(责任单位：市市场监管局、市网</w:t>
      </w:r>
    </w:p>
    <w:p>
      <w:pPr>
        <w:ind w:left="23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3"/>
        </w:rPr>
        <w:t>络理政办、各区(市)县行政审批部门)</w:t>
      </w:r>
    </w:p>
    <w:p>
      <w:pPr>
        <w:ind w:left="633"/>
        <w:spacing w:before="151"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8"/>
        </w:rPr>
        <w:t>2.</w:t>
      </w:r>
      <w:r>
        <w:rPr>
          <w:rFonts w:ascii="FangSong" w:hAnsi="FangSong" w:eastAsia="FangSong" w:cs="FangSong"/>
          <w:sz w:val="30"/>
          <w:szCs w:val="30"/>
          <w:spacing w:val="-4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8"/>
        </w:rPr>
        <w:t>简化审批流程。审批部门对涉及许可办理的，实行后台</w:t>
      </w:r>
    </w:p>
    <w:p>
      <w:pPr>
        <w:spacing w:line="221" w:lineRule="auto"/>
        <w:sectPr>
          <w:footerReference w:type="default" r:id="rId27"/>
          <w:pgSz w:w="11910" w:h="16830"/>
          <w:pgMar w:top="1430" w:right="1406" w:bottom="2030" w:left="1786" w:header="0" w:footer="173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23"/>
        <w:spacing w:before="98" w:line="3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流转，并联审批。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</w:rPr>
        <w:t>“个转企”后需要办理食品经营许可证的，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1"/>
        </w:rPr>
        <w:t>要按照四川省市场监督管理局办公室《关于做好“个转企”后变</w:t>
      </w:r>
      <w:r>
        <w:rPr>
          <w:rFonts w:ascii="FangSong" w:hAnsi="FangSong" w:eastAsia="FangSong" w:cs="FangSong"/>
          <w:sz w:val="30"/>
          <w:szCs w:val="30"/>
        </w:rPr>
        <w:t xml:space="preserve">   </w:t>
      </w:r>
      <w:r>
        <w:rPr>
          <w:rFonts w:ascii="FangSong" w:hAnsi="FangSong" w:eastAsia="FangSong" w:cs="FangSong"/>
          <w:sz w:val="30"/>
          <w:szCs w:val="30"/>
          <w:spacing w:val="-1"/>
        </w:rPr>
        <w:t>更食品经营许可相关工作的通知》要求，简化工作流程，及时受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  </w:t>
      </w:r>
      <w:r>
        <w:rPr>
          <w:rFonts w:ascii="FangSong" w:hAnsi="FangSong" w:eastAsia="FangSong" w:cs="FangSong"/>
          <w:sz w:val="30"/>
          <w:szCs w:val="30"/>
          <w:spacing w:val="-1"/>
        </w:rPr>
        <w:t>理、审批，办理变更手续。鼓励行政审批部门探索开展“个转企”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许可资质保全，允许原个体工商户持有的许可资质在有效期内可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  </w:t>
      </w:r>
      <w:r>
        <w:rPr>
          <w:rFonts w:ascii="FangSong" w:hAnsi="FangSong" w:eastAsia="FangSong" w:cs="FangSong"/>
          <w:sz w:val="30"/>
          <w:szCs w:val="30"/>
          <w:spacing w:val="5"/>
        </w:rPr>
        <w:t>继续保全使用。(责任单位：市市场监管局、市网络理政办、各</w:t>
      </w:r>
    </w:p>
    <w:p>
      <w:pPr>
        <w:ind w:left="23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1"/>
        </w:rPr>
        <w:t>行业主管部门、各区(市)县行政审批部门)</w:t>
      </w:r>
    </w:p>
    <w:p>
      <w:pPr>
        <w:ind w:left="647"/>
        <w:spacing w:before="199" w:line="222" w:lineRule="auto"/>
        <w:outlineLvl w:val="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-9"/>
        </w:rPr>
        <w:t>四、工作要求</w:t>
      </w:r>
    </w:p>
    <w:p>
      <w:pPr>
        <w:ind w:left="23" w:right="180" w:firstLine="744"/>
        <w:spacing w:before="149" w:line="314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b/>
          <w:bCs/>
          <w:spacing w:val="3"/>
        </w:rPr>
        <w:t>(一)加强组织领导</w:t>
      </w:r>
      <w:r>
        <w:rPr>
          <w:rFonts w:ascii="FangSong" w:hAnsi="FangSong" w:eastAsia="FangSong" w:cs="FangSong"/>
          <w:sz w:val="30"/>
          <w:szCs w:val="30"/>
          <w:spacing w:val="3"/>
        </w:rPr>
        <w:t>。设立推进成都“个转企”专项工作组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6"/>
        </w:rPr>
        <w:t>(以下简称“工作组”),成员单位包括本方案中承担</w:t>
      </w:r>
      <w:r>
        <w:rPr>
          <w:rFonts w:ascii="FangSong" w:hAnsi="FangSong" w:eastAsia="FangSong" w:cs="FangSong"/>
          <w:sz w:val="30"/>
          <w:szCs w:val="30"/>
          <w:spacing w:val="15"/>
        </w:rPr>
        <w:t>具体工作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职责的相关部门，工作组日常工作由市市场监管局承担，条</w:t>
      </w:r>
      <w:r>
        <w:rPr>
          <w:rFonts w:ascii="FangSong" w:hAnsi="FangSong" w:eastAsia="FangSong" w:cs="FangSong"/>
          <w:sz w:val="30"/>
          <w:szCs w:val="30"/>
          <w:spacing w:val="-2"/>
        </w:rPr>
        <w:t>件成</w:t>
      </w:r>
      <w:r>
        <w:rPr>
          <w:rFonts w:ascii="FangSong" w:hAnsi="FangSong" w:eastAsia="FangSong" w:cs="FangSong"/>
          <w:sz w:val="30"/>
          <w:szCs w:val="30"/>
          <w:spacing w:val="-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熟时，推动成立成都市扶持个体工商户发展联席会议制度。</w:t>
      </w:r>
      <w:r>
        <w:rPr>
          <w:rFonts w:ascii="FangSong" w:hAnsi="FangSong" w:eastAsia="FangSong" w:cs="FangSong"/>
          <w:sz w:val="30"/>
          <w:szCs w:val="30"/>
          <w:spacing w:val="-2"/>
        </w:rPr>
        <w:t>各地</w:t>
      </w:r>
      <w:r>
        <w:rPr>
          <w:rFonts w:ascii="FangSong" w:hAnsi="FangSong" w:eastAsia="FangSong" w:cs="FangSong"/>
          <w:sz w:val="30"/>
          <w:szCs w:val="30"/>
          <w:spacing w:val="-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各部门要充分认识“个转企”工作对我市经济转型升级和可</w:t>
      </w:r>
      <w:r>
        <w:rPr>
          <w:rFonts w:ascii="FangSong" w:hAnsi="FangSong" w:eastAsia="FangSong" w:cs="FangSong"/>
          <w:sz w:val="30"/>
          <w:szCs w:val="30"/>
          <w:spacing w:val="-2"/>
        </w:rPr>
        <w:t>持续</w:t>
      </w:r>
      <w:r>
        <w:rPr>
          <w:rFonts w:ascii="FangSong" w:hAnsi="FangSong" w:eastAsia="FangSong" w:cs="FangSong"/>
          <w:sz w:val="30"/>
          <w:szCs w:val="30"/>
          <w:spacing w:val="-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发展的重要意义，切实履行主体责任，建立“个转企”工作机制，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健全“个转企”促进政策，制定细化实施方案，压实责任、</w:t>
      </w:r>
      <w:r>
        <w:rPr>
          <w:rFonts w:ascii="FangSong" w:hAnsi="FangSong" w:eastAsia="FangSong" w:cs="FangSong"/>
          <w:sz w:val="30"/>
          <w:szCs w:val="30"/>
          <w:spacing w:val="-2"/>
        </w:rPr>
        <w:t>分工</w:t>
      </w:r>
      <w:r>
        <w:rPr>
          <w:rFonts w:ascii="FangSong" w:hAnsi="FangSong" w:eastAsia="FangSong" w:cs="FangSong"/>
          <w:sz w:val="30"/>
          <w:szCs w:val="30"/>
          <w:spacing w:val="-2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协作、加强督导。将“个转企”纳入对各地各部门工作考核，确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保全面完成各项工作任务。(责任单位：市市场监管局、市级相</w:t>
      </w:r>
    </w:p>
    <w:p>
      <w:pPr>
        <w:ind w:left="23"/>
        <w:spacing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5"/>
        </w:rPr>
        <w:t>关部门、各区(市)县)</w:t>
      </w:r>
    </w:p>
    <w:p>
      <w:pPr>
        <w:ind w:left="23" w:right="160" w:firstLine="744"/>
        <w:spacing w:before="245" w:line="32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b/>
          <w:bCs/>
          <w:spacing w:val="3"/>
        </w:rPr>
        <w:t>(二)强化调研指导</w:t>
      </w:r>
      <w:r>
        <w:rPr>
          <w:rFonts w:ascii="FangSong" w:hAnsi="FangSong" w:eastAsia="FangSong" w:cs="FangSong"/>
          <w:sz w:val="30"/>
          <w:szCs w:val="30"/>
          <w:spacing w:val="3"/>
        </w:rPr>
        <w:t>。各地各部门要加强对转型企业的跟踪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1"/>
        </w:rPr>
        <w:t>监测，组织开展“个转企”工作调研，全面掌握其存续状态</w:t>
      </w:r>
      <w:r>
        <w:rPr>
          <w:rFonts w:ascii="FangSong" w:hAnsi="FangSong" w:eastAsia="FangSong" w:cs="FangSong"/>
          <w:sz w:val="30"/>
          <w:szCs w:val="30"/>
          <w:spacing w:val="-2"/>
        </w:rPr>
        <w:t>、生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1"/>
        </w:rPr>
        <w:t>产经营、信用状况、社会贡献等情况。针对“个转企”过程中的</w:t>
      </w:r>
      <w:r>
        <w:rPr>
          <w:rFonts w:ascii="FangSong" w:hAnsi="FangSong" w:eastAsia="FangSong" w:cs="FangSong"/>
          <w:sz w:val="30"/>
          <w:szCs w:val="30"/>
          <w:spacing w:val="2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6"/>
        </w:rPr>
        <w:t>普遍性困难和问题，各地各部门要及时梳理总结，</w:t>
      </w:r>
      <w:r>
        <w:rPr>
          <w:rFonts w:ascii="FangSong" w:hAnsi="FangSong" w:eastAsia="FangSong" w:cs="FangSong"/>
          <w:sz w:val="30"/>
          <w:szCs w:val="30"/>
          <w:spacing w:val="-7"/>
        </w:rPr>
        <w:t>逐步推动解决。</w:t>
      </w:r>
    </w:p>
    <w:p>
      <w:pPr>
        <w:ind w:left="23"/>
        <w:spacing w:before="2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9"/>
        </w:rPr>
        <w:t>到2025年，在全市形成适应“个转企”高质量发展的工作机制</w:t>
      </w:r>
    </w:p>
    <w:p>
      <w:pPr>
        <w:spacing w:line="218" w:lineRule="auto"/>
        <w:sectPr>
          <w:footerReference w:type="default" r:id="rId28"/>
          <w:pgSz w:w="11910" w:h="16830"/>
          <w:pgMar w:top="1430" w:right="1419" w:bottom="2141" w:left="1786" w:header="0" w:footer="184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23" w:right="23"/>
        <w:spacing w:before="97" w:line="32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和政策体系。本方案中现有政策措施若到期或失效，以最新文件</w:t>
      </w:r>
      <w:r>
        <w:rPr>
          <w:rFonts w:ascii="FangSong" w:hAnsi="FangSong" w:eastAsia="FangSong" w:cs="FangSong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为准。(责任单位：市市场监管局、各行业主管部门、各区(市)</w:t>
      </w:r>
    </w:p>
    <w:p>
      <w:pPr>
        <w:ind w:left="23"/>
        <w:spacing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2"/>
        </w:rPr>
        <w:t>县</w:t>
      </w:r>
      <w:r>
        <w:rPr>
          <w:rFonts w:ascii="FangSong" w:hAnsi="FangSong" w:eastAsia="FangSong" w:cs="FangSong"/>
          <w:sz w:val="30"/>
          <w:szCs w:val="30"/>
          <w:spacing w:val="-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2"/>
        </w:rPr>
        <w:t>)</w:t>
      </w:r>
    </w:p>
    <w:p>
      <w:pPr>
        <w:ind w:left="23" w:firstLine="744"/>
        <w:spacing w:before="147" w:line="32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b/>
          <w:bCs/>
          <w:spacing w:val="5"/>
        </w:rPr>
        <w:t>(三)注重宣传引导。</w:t>
      </w:r>
      <w:r>
        <w:rPr>
          <w:rFonts w:ascii="FangSong" w:hAnsi="FangSong" w:eastAsia="FangSong" w:cs="FangSong"/>
          <w:sz w:val="30"/>
          <w:szCs w:val="30"/>
          <w:spacing w:val="5"/>
        </w:rPr>
        <w:t>各地各部门要及时发现并树立“个转</w:t>
      </w:r>
      <w:r>
        <w:rPr>
          <w:rFonts w:ascii="FangSong" w:hAnsi="FangSong" w:eastAsia="FangSong" w:cs="FangSong"/>
          <w:sz w:val="30"/>
          <w:szCs w:val="30"/>
          <w:spacing w:val="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企”典型，加强对外宣传，强化示范带动，增强“个转企”意愿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和主动性。要及时总结相关工作经验，报送工作组，工作组适时</w:t>
      </w:r>
      <w:r>
        <w:rPr>
          <w:rFonts w:ascii="FangSong" w:hAnsi="FangSong" w:eastAsia="FangSong" w:cs="FangSong"/>
          <w:sz w:val="30"/>
          <w:szCs w:val="30"/>
          <w:spacing w:val="-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进行内部交流，互通有无，形成“你追我赶”的良好工作局面。</w:t>
      </w:r>
    </w:p>
    <w:p>
      <w:pPr>
        <w:ind w:right="23"/>
        <w:spacing w:before="1" w:line="220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8"/>
        </w:rPr>
        <w:t>(责任单位：市市场监管局、各行业主管部门、各区(市)县)</w:t>
      </w:r>
    </w:p>
    <w:p>
      <w:pPr>
        <w:spacing w:line="220" w:lineRule="auto"/>
        <w:sectPr>
          <w:footerReference w:type="default" r:id="rId29"/>
          <w:pgSz w:w="11910" w:h="16830"/>
          <w:pgMar w:top="1430" w:right="1609" w:bottom="2031" w:left="1786" w:header="0" w:footer="173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47"/>
        <w:spacing w:before="97" w:line="224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-16"/>
        </w:rPr>
        <w:t>附</w:t>
      </w:r>
      <w:r>
        <w:rPr>
          <w:rFonts w:ascii="SimHei" w:hAnsi="SimHei" w:eastAsia="SimHei" w:cs="SimHei"/>
          <w:sz w:val="30"/>
          <w:szCs w:val="30"/>
          <w:spacing w:val="-71"/>
        </w:rPr>
        <w:t xml:space="preserve"> </w:t>
      </w:r>
      <w:r>
        <w:rPr>
          <w:rFonts w:ascii="SimHei" w:hAnsi="SimHei" w:eastAsia="SimHei" w:cs="SimHei"/>
          <w:sz w:val="30"/>
          <w:szCs w:val="30"/>
          <w:b/>
          <w:bCs/>
          <w:spacing w:val="-16"/>
        </w:rPr>
        <w:t>件</w:t>
      </w:r>
      <w:r>
        <w:rPr>
          <w:rFonts w:ascii="SimHei" w:hAnsi="SimHei" w:eastAsia="SimHei" w:cs="SimHei"/>
          <w:sz w:val="30"/>
          <w:szCs w:val="30"/>
          <w:spacing w:val="-53"/>
        </w:rPr>
        <w:t xml:space="preserve"> </w:t>
      </w:r>
      <w:r>
        <w:rPr>
          <w:rFonts w:ascii="SimHei" w:hAnsi="SimHei" w:eastAsia="SimHei" w:cs="SimHei"/>
          <w:sz w:val="30"/>
          <w:szCs w:val="30"/>
          <w:b/>
          <w:bCs/>
          <w:spacing w:val="-16"/>
        </w:rPr>
        <w:t>1</w:t>
      </w:r>
    </w:p>
    <w:p>
      <w:pPr>
        <w:pStyle w:val="BodyText"/>
        <w:spacing w:line="254" w:lineRule="auto"/>
        <w:rPr/>
      </w:pPr>
      <w:r/>
    </w:p>
    <w:p>
      <w:pPr>
        <w:ind w:left="1954"/>
        <w:spacing w:before="140" w:line="219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-18"/>
        </w:rPr>
        <w:t>“个转企”行业参考标准</w:t>
      </w:r>
    </w:p>
    <w:p>
      <w:pPr>
        <w:ind w:left="1113"/>
        <w:spacing w:before="176" w:line="593" w:lineRule="exact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1"/>
          <w:position w:val="21"/>
        </w:rPr>
        <w:t>(按照《统计上大中小微型企业划分办法(</w:t>
      </w:r>
      <w:r>
        <w:rPr>
          <w:rFonts w:ascii="KaiTi" w:hAnsi="KaiTi" w:eastAsia="KaiTi" w:cs="KaiTi"/>
          <w:sz w:val="30"/>
          <w:szCs w:val="30"/>
          <w:spacing w:val="10"/>
          <w:position w:val="21"/>
        </w:rPr>
        <w:t>2017)》</w:t>
      </w:r>
    </w:p>
    <w:p>
      <w:pPr>
        <w:ind w:left="2953"/>
        <w:spacing w:line="226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7"/>
        </w:rPr>
        <w:t>小型企业标准划定)</w:t>
      </w:r>
    </w:p>
    <w:p>
      <w:pPr>
        <w:pStyle w:val="BodyText"/>
        <w:spacing w:line="322" w:lineRule="auto"/>
        <w:rPr/>
      </w:pPr>
      <w:r/>
    </w:p>
    <w:p>
      <w:pPr>
        <w:pStyle w:val="BodyText"/>
        <w:spacing w:line="323" w:lineRule="auto"/>
        <w:rPr/>
      </w:pPr>
      <w:r/>
    </w:p>
    <w:p>
      <w:pPr>
        <w:ind w:left="803"/>
        <w:spacing w:before="98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5"/>
        </w:rPr>
        <w:t>(1)生产性行业(主管部门：市经信局)</w:t>
      </w:r>
    </w:p>
    <w:p>
      <w:pPr>
        <w:ind w:right="44"/>
        <w:spacing w:before="152" w:line="548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0"/>
          <w:position w:val="18"/>
        </w:rPr>
        <w:t>符合以下条件之一的生产性行业的个体工商户，应当引导</w:t>
      </w:r>
    </w:p>
    <w:p>
      <w:pPr>
        <w:ind w:left="43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其转型为企业：</w:t>
      </w:r>
    </w:p>
    <w:p>
      <w:pPr>
        <w:ind w:left="673"/>
        <w:spacing w:before="167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8"/>
        </w:rPr>
        <w:t>①从业人数在20人(含20人)以上、300人以下的；</w:t>
      </w:r>
    </w:p>
    <w:p>
      <w:pPr>
        <w:ind w:left="673"/>
        <w:spacing w:before="183" w:line="545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4"/>
          <w:position w:val="18"/>
        </w:rPr>
        <w:t>②年营业收入在300万元(含300万元)以上、2000</w:t>
      </w:r>
      <w:r>
        <w:rPr>
          <w:rFonts w:ascii="FangSong" w:hAnsi="FangSong" w:eastAsia="FangSong" w:cs="FangSong"/>
          <w:sz w:val="30"/>
          <w:szCs w:val="30"/>
          <w:spacing w:val="-23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4"/>
          <w:position w:val="18"/>
        </w:rPr>
        <w:t>万</w:t>
      </w:r>
    </w:p>
    <w:p>
      <w:pPr>
        <w:ind w:left="43"/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元以下的；</w:t>
      </w:r>
    </w:p>
    <w:p>
      <w:pPr>
        <w:ind w:left="803"/>
        <w:spacing w:before="186"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4"/>
        </w:rPr>
        <w:t>(2)批发零售行业(主管部门：市商务局)</w:t>
      </w:r>
    </w:p>
    <w:p>
      <w:pPr>
        <w:ind w:right="44"/>
        <w:spacing w:before="181" w:line="537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0"/>
          <w:position w:val="17"/>
        </w:rPr>
        <w:t>符合以下条件之一的批发零售行业个体工商户，应当引导</w:t>
      </w:r>
    </w:p>
    <w:p>
      <w:pPr>
        <w:ind w:left="43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其转型为企业：</w:t>
      </w:r>
    </w:p>
    <w:p>
      <w:pPr>
        <w:ind w:left="43" w:right="158" w:firstLine="630"/>
        <w:spacing w:before="165" w:line="34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2"/>
        </w:rPr>
        <w:t>①对于批发行业从业人数在5人(含5人)以上、</w:t>
      </w:r>
      <w:r>
        <w:rPr>
          <w:rFonts w:ascii="FangSong" w:hAnsi="FangSong" w:eastAsia="FangSong" w:cs="FangSong"/>
          <w:sz w:val="30"/>
          <w:szCs w:val="30"/>
          <w:spacing w:val="41"/>
        </w:rPr>
        <w:t>20人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7"/>
        </w:rPr>
        <w:t>以下的，零售行业从业人数在10人(含10人)以上、50人</w:t>
      </w:r>
    </w:p>
    <w:p>
      <w:pPr>
        <w:ind w:left="43"/>
        <w:spacing w:before="1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以下的；</w:t>
      </w:r>
    </w:p>
    <w:p>
      <w:pPr>
        <w:ind w:left="43" w:firstLine="630"/>
        <w:spacing w:before="175" w:line="3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2"/>
        </w:rPr>
        <w:t>②对于批发行业年营业收入在1000万元(含1000万元)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4"/>
        </w:rPr>
        <w:t>以上、5000万元以下，零售行业年营业收入1</w:t>
      </w:r>
      <w:r>
        <w:rPr>
          <w:rFonts w:ascii="FangSong" w:hAnsi="FangSong" w:eastAsia="FangSong" w:cs="FangSong"/>
          <w:sz w:val="30"/>
          <w:szCs w:val="30"/>
          <w:spacing w:val="23"/>
        </w:rPr>
        <w:t>00万元(含100</w:t>
      </w:r>
    </w:p>
    <w:p>
      <w:pPr>
        <w:ind w:left="43"/>
        <w:spacing w:before="1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3"/>
        </w:rPr>
        <w:t>万元)以上、500万元以下的。</w:t>
      </w:r>
    </w:p>
    <w:p>
      <w:pPr>
        <w:ind w:left="803"/>
        <w:spacing w:before="207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8"/>
        </w:rPr>
        <w:t>(3)住宿、餐饮服务业(主管部门：市商务局、</w:t>
      </w:r>
      <w:r>
        <w:rPr>
          <w:rFonts w:ascii="FangSong" w:hAnsi="FangSong" w:eastAsia="FangSong" w:cs="FangSong"/>
          <w:sz w:val="30"/>
          <w:szCs w:val="30"/>
          <w:spacing w:val="27"/>
        </w:rPr>
        <w:t>市文广</w:t>
      </w:r>
    </w:p>
    <w:p>
      <w:pPr>
        <w:spacing w:line="222" w:lineRule="auto"/>
        <w:sectPr>
          <w:footerReference w:type="default" r:id="rId30"/>
          <w:pgSz w:w="11910" w:h="16830"/>
          <w:pgMar w:top="1430" w:right="1643" w:bottom="2117" w:left="1786" w:header="0" w:footer="182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23"/>
        <w:spacing w:before="97"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5"/>
        </w:rPr>
        <w:t>旅局)</w:t>
      </w:r>
    </w:p>
    <w:p>
      <w:pPr>
        <w:ind w:left="643"/>
        <w:spacing w:before="164" w:line="556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0"/>
          <w:position w:val="19"/>
        </w:rPr>
        <w:t>符合以下条件之一的住宿、餐饮行业个体工商户，应当引</w:t>
      </w:r>
    </w:p>
    <w:p>
      <w:pPr>
        <w:ind w:left="23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5"/>
        </w:rPr>
        <w:t>导其转型为企业：</w:t>
      </w:r>
    </w:p>
    <w:p>
      <w:pPr>
        <w:ind w:left="643"/>
        <w:spacing w:before="156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7"/>
        </w:rPr>
        <w:t>①从业人员数在10人(含10人)以上、100人以下的；</w:t>
      </w:r>
    </w:p>
    <w:p>
      <w:pPr>
        <w:ind w:left="643"/>
        <w:spacing w:before="197" w:line="555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4"/>
          <w:position w:val="18"/>
        </w:rPr>
        <w:t>②年营业收入100万元以上(含100万元</w:t>
      </w:r>
      <w:r>
        <w:rPr>
          <w:rFonts w:ascii="FangSong" w:hAnsi="FangSong" w:eastAsia="FangSong" w:cs="FangSong"/>
          <w:sz w:val="30"/>
          <w:szCs w:val="30"/>
          <w:spacing w:val="33"/>
          <w:position w:val="18"/>
        </w:rPr>
        <w:t>)、2000</w:t>
      </w:r>
      <w:r>
        <w:rPr>
          <w:rFonts w:ascii="FangSong" w:hAnsi="FangSong" w:eastAsia="FangSong" w:cs="FangSong"/>
          <w:sz w:val="30"/>
          <w:szCs w:val="30"/>
          <w:spacing w:val="-37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3"/>
          <w:position w:val="18"/>
        </w:rPr>
        <w:t>万元</w:t>
      </w:r>
    </w:p>
    <w:p>
      <w:pPr>
        <w:ind w:left="23"/>
        <w:spacing w:before="1" w:line="220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-4"/>
        </w:rPr>
        <w:t>以下的。</w:t>
      </w:r>
    </w:p>
    <w:p>
      <w:pPr>
        <w:ind w:left="773"/>
        <w:spacing w:before="164"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5"/>
        </w:rPr>
        <w:t>(4)美容美发行业(主管部门：市商务局)</w:t>
      </w:r>
    </w:p>
    <w:p>
      <w:pPr>
        <w:ind w:left="643"/>
        <w:spacing w:before="162" w:line="556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1"/>
          <w:position w:val="18"/>
        </w:rPr>
        <w:t>符合以下条件之一的美容美发行业个体工商户，</w:t>
      </w:r>
      <w:r>
        <w:rPr>
          <w:rFonts w:ascii="FangSong" w:hAnsi="FangSong" w:eastAsia="FangSong" w:cs="FangSong"/>
          <w:sz w:val="30"/>
          <w:szCs w:val="30"/>
          <w:spacing w:val="10"/>
          <w:position w:val="18"/>
        </w:rPr>
        <w:t>应当引导</w:t>
      </w:r>
    </w:p>
    <w:p>
      <w:pPr>
        <w:ind w:left="23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"/>
        </w:rPr>
        <w:t>其转型为企业：</w:t>
      </w:r>
    </w:p>
    <w:p>
      <w:pPr>
        <w:ind w:left="643"/>
        <w:spacing w:before="187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7"/>
        </w:rPr>
        <w:t>①从业人员数在10人(含10人)以上、100人以下的；</w:t>
      </w:r>
    </w:p>
    <w:p>
      <w:pPr>
        <w:ind w:left="643"/>
        <w:spacing w:before="177" w:line="531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7"/>
          <w:position w:val="16"/>
        </w:rPr>
        <w:t>②年营业收入100万元以上(含100万元)、8000万元</w:t>
      </w:r>
    </w:p>
    <w:p>
      <w:pPr>
        <w:ind w:left="23"/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以下的。</w:t>
      </w:r>
    </w:p>
    <w:p>
      <w:pPr>
        <w:ind w:left="773"/>
        <w:spacing w:before="176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3"/>
        </w:rPr>
        <w:t>(5)娱乐及休闲服务业(主管部门：市文</w:t>
      </w:r>
      <w:r>
        <w:rPr>
          <w:rFonts w:ascii="FangSong" w:hAnsi="FangSong" w:eastAsia="FangSong" w:cs="FangSong"/>
          <w:sz w:val="30"/>
          <w:szCs w:val="30"/>
          <w:spacing w:val="32"/>
        </w:rPr>
        <w:t>广旅局)</w:t>
      </w:r>
    </w:p>
    <w:p>
      <w:pPr>
        <w:ind w:left="643"/>
        <w:spacing w:before="182" w:line="538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1"/>
          <w:position w:val="17"/>
        </w:rPr>
        <w:t>符合以下条件之一的娱乐休闲行业(主要含歌舞娱乐场</w:t>
      </w:r>
    </w:p>
    <w:p>
      <w:pPr>
        <w:spacing w:before="1" w:line="218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9"/>
        </w:rPr>
        <w:t>所、酒吧、健身等行业)个体工商户，应当引导其转型为企业：</w:t>
      </w:r>
    </w:p>
    <w:p>
      <w:pPr>
        <w:ind w:left="643"/>
        <w:spacing w:before="176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7"/>
        </w:rPr>
        <w:t>①从业人员数在10人(含10人)以上、100人以下的；</w:t>
      </w:r>
    </w:p>
    <w:p>
      <w:pPr>
        <w:ind w:left="643"/>
        <w:spacing w:before="187" w:line="541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7"/>
          <w:position w:val="17"/>
        </w:rPr>
        <w:t>②年营业收入100万元以上(含100万元)、8000万元</w:t>
      </w:r>
    </w:p>
    <w:p>
      <w:pPr>
        <w:ind w:left="23"/>
        <w:spacing w:before="1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以下的。</w:t>
      </w:r>
    </w:p>
    <w:p>
      <w:pPr>
        <w:ind w:left="773"/>
        <w:spacing w:before="167" w:line="552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8"/>
          <w:position w:val="18"/>
        </w:rPr>
        <w:t>(6)居民服务及商务业(主管部门：市商务局、市住建</w:t>
      </w:r>
    </w:p>
    <w:p>
      <w:pPr>
        <w:ind w:left="23"/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0"/>
        </w:rPr>
        <w:t>局、市文广旅局等)</w:t>
      </w:r>
    </w:p>
    <w:p>
      <w:pPr>
        <w:ind w:left="643"/>
        <w:spacing w:before="186" w:line="53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9"/>
          <w:position w:val="16"/>
        </w:rPr>
        <w:t>符合以下条件之一的居民服务、商务服务行</w:t>
      </w:r>
      <w:r>
        <w:rPr>
          <w:rFonts w:ascii="FangSong" w:hAnsi="FangSong" w:eastAsia="FangSong" w:cs="FangSong"/>
          <w:sz w:val="30"/>
          <w:szCs w:val="30"/>
          <w:spacing w:val="18"/>
          <w:position w:val="16"/>
        </w:rPr>
        <w:t>业(含浴室、</w:t>
      </w:r>
    </w:p>
    <w:p>
      <w:pPr>
        <w:ind w:left="23"/>
        <w:spacing w:before="2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7"/>
        </w:rPr>
        <w:t>足浴、商务服务、租赁服务等行业)个体工商户，应当引导其</w:t>
      </w:r>
    </w:p>
    <w:p>
      <w:pPr>
        <w:spacing w:line="220" w:lineRule="auto"/>
        <w:sectPr>
          <w:footerReference w:type="default" r:id="rId31"/>
          <w:pgSz w:w="11910" w:h="16830"/>
          <w:pgMar w:top="1430" w:right="1579" w:bottom="2031" w:left="1786" w:header="0" w:footer="173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43"/>
        <w:spacing w:before="98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转型为企业：</w:t>
      </w:r>
    </w:p>
    <w:p>
      <w:pPr>
        <w:ind w:right="14"/>
        <w:spacing w:before="155" w:line="544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7"/>
          <w:position w:val="17"/>
        </w:rPr>
        <w:t>①从业人员数在10人(含10人)以上、100人以下的；</w:t>
      </w:r>
    </w:p>
    <w:p>
      <w:pPr>
        <w:ind w:left="643"/>
        <w:spacing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6"/>
        </w:rPr>
        <w:t>②年营业收入100万元以上(含100万元)、8000万元</w:t>
      </w:r>
    </w:p>
    <w:p>
      <w:pPr>
        <w:ind w:left="43"/>
        <w:spacing w:before="181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以下的。</w:t>
      </w:r>
    </w:p>
    <w:p>
      <w:pPr>
        <w:ind w:left="843"/>
        <w:spacing w:before="176"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1"/>
        </w:rPr>
        <w:t>(7)汽修物流业(主管部门：市交通运输局)</w:t>
      </w:r>
    </w:p>
    <w:p>
      <w:pPr>
        <w:ind w:right="12"/>
        <w:spacing w:before="169" w:line="558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0"/>
          <w:position w:val="19"/>
        </w:rPr>
        <w:t>符合以下条件之一的汽车维修、货运行业个体工商户，应</w:t>
      </w:r>
    </w:p>
    <w:p>
      <w:pPr>
        <w:ind w:left="43"/>
        <w:spacing w:before="2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当引导其转型为企业：</w:t>
      </w:r>
    </w:p>
    <w:p>
      <w:pPr>
        <w:ind w:right="14"/>
        <w:spacing w:before="166" w:line="219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7"/>
        </w:rPr>
        <w:t>①从业人员数在20人以上(含20人)、300人以下的；</w:t>
      </w:r>
    </w:p>
    <w:p>
      <w:pPr>
        <w:ind w:left="643"/>
        <w:spacing w:before="187" w:line="541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6"/>
          <w:position w:val="17"/>
        </w:rPr>
        <w:t>②年营业收入200万元以上(含200万元)、3000万元</w:t>
      </w:r>
    </w:p>
    <w:p>
      <w:pPr>
        <w:ind w:left="43"/>
        <w:spacing w:before="1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以下的。</w:t>
      </w:r>
    </w:p>
    <w:p>
      <w:pPr>
        <w:ind w:left="783"/>
        <w:spacing w:before="166"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4"/>
        </w:rPr>
        <w:t>(8)种、养殖业(主管部门：市农业农村局)</w:t>
      </w:r>
    </w:p>
    <w:p>
      <w:pPr>
        <w:spacing w:before="167" w:line="581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0"/>
          <w:position w:val="21"/>
        </w:rPr>
        <w:t>符合以下的农资销售经营个体工商户，应当引导其转型为</w:t>
      </w:r>
    </w:p>
    <w:p>
      <w:pPr>
        <w:ind w:left="43"/>
        <w:spacing w:before="2" w:line="23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企业：</w:t>
      </w:r>
    </w:p>
    <w:p>
      <w:pPr>
        <w:ind w:right="1"/>
        <w:spacing w:before="127" w:line="568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7"/>
          <w:position w:val="19"/>
        </w:rPr>
        <w:t>①年营业收入50万元以上(含50万元)、500万元以下</w:t>
      </w:r>
    </w:p>
    <w:p>
      <w:pPr>
        <w:ind w:left="43"/>
        <w:spacing w:line="222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-10"/>
        </w:rPr>
        <w:t>的。</w:t>
      </w:r>
    </w:p>
    <w:p>
      <w:pPr>
        <w:spacing w:line="222" w:lineRule="auto"/>
        <w:sectPr>
          <w:footerReference w:type="default" r:id="rId32"/>
          <w:pgSz w:w="11910" w:h="16830"/>
          <w:pgMar w:top="1430" w:right="1715" w:bottom="2121" w:left="1786" w:header="0" w:footer="1822" w:gutter="0"/>
        </w:sectPr>
        <w:rPr>
          <w:rFonts w:ascii="SimSun" w:hAnsi="SimSun" w:eastAsia="SimSun" w:cs="SimSun"/>
          <w:sz w:val="30"/>
          <w:szCs w:val="30"/>
        </w:rPr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ind w:left="109"/>
        <w:spacing w:before="101" w:line="22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18"/>
        </w:rPr>
        <w:t>附件2</w:t>
      </w:r>
    </w:p>
    <w:p>
      <w:pPr>
        <w:pStyle w:val="BodyText"/>
        <w:spacing w:line="371" w:lineRule="auto"/>
        <w:rPr/>
      </w:pPr>
      <w:r/>
    </w:p>
    <w:p>
      <w:pPr>
        <w:ind w:left="1600"/>
        <w:spacing w:before="136" w:line="219" w:lineRule="auto"/>
        <w:rPr>
          <w:rFonts w:ascii="SimSun" w:hAnsi="SimSun" w:eastAsia="SimSun" w:cs="SimSun"/>
          <w:sz w:val="42"/>
          <w:szCs w:val="42"/>
        </w:rPr>
      </w:pPr>
      <w:r>
        <w:rPr>
          <w:rFonts w:ascii="SimSun" w:hAnsi="SimSun" w:eastAsia="SimSun" w:cs="SimSun"/>
          <w:sz w:val="42"/>
          <w:szCs w:val="42"/>
          <w:b/>
          <w:bCs/>
          <w:spacing w:val="-6"/>
        </w:rPr>
        <w:t>依据法律法规应转型企业类别</w:t>
      </w:r>
    </w:p>
    <w:p>
      <w:pPr>
        <w:spacing w:before="38"/>
        <w:rPr/>
      </w:pPr>
      <w:r/>
    </w:p>
    <w:p>
      <w:pPr>
        <w:spacing w:before="37"/>
        <w:rPr/>
      </w:pPr>
      <w:r/>
    </w:p>
    <w:tbl>
      <w:tblPr>
        <w:tblStyle w:val="TableNormal"/>
        <w:tblW w:w="855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93"/>
        <w:gridCol w:w="2047"/>
        <w:gridCol w:w="4719"/>
      </w:tblGrid>
      <w:tr>
        <w:trPr>
          <w:trHeight w:val="564" w:hRule="atLeast"/>
        </w:trPr>
        <w:tc>
          <w:tcPr>
            <w:tcW w:w="1793" w:type="dxa"/>
            <w:vAlign w:val="top"/>
          </w:tcPr>
          <w:p>
            <w:pPr>
              <w:pStyle w:val="TableText"/>
              <w:ind w:left="309"/>
              <w:spacing w:before="142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b/>
                <w:bCs/>
              </w:rPr>
              <w:t>企业类别</w:t>
            </w:r>
          </w:p>
        </w:tc>
        <w:tc>
          <w:tcPr>
            <w:tcW w:w="2047" w:type="dxa"/>
            <w:vAlign w:val="top"/>
          </w:tcPr>
          <w:p>
            <w:pPr>
              <w:pStyle w:val="TableText"/>
              <w:ind w:left="436"/>
              <w:spacing w:before="142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b/>
                <w:bCs/>
                <w:spacing w:val="3"/>
              </w:rPr>
              <w:t>主管部门</w:t>
            </w:r>
          </w:p>
        </w:tc>
        <w:tc>
          <w:tcPr>
            <w:tcW w:w="4719" w:type="dxa"/>
            <w:vAlign w:val="top"/>
          </w:tcPr>
          <w:p>
            <w:pPr>
              <w:pStyle w:val="TableText"/>
              <w:ind w:left="1779"/>
              <w:spacing w:before="140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b/>
                <w:bCs/>
                <w:spacing w:val="-1"/>
              </w:rPr>
              <w:t>法律依据</w:t>
            </w:r>
          </w:p>
        </w:tc>
      </w:tr>
      <w:tr>
        <w:trPr>
          <w:trHeight w:val="769" w:hRule="atLeast"/>
        </w:trPr>
        <w:tc>
          <w:tcPr>
            <w:tcW w:w="1793" w:type="dxa"/>
            <w:vAlign w:val="top"/>
          </w:tcPr>
          <w:p>
            <w:pPr>
              <w:pStyle w:val="TableText"/>
              <w:ind w:left="194" w:right="77" w:hanging="110"/>
              <w:spacing w:before="150" w:line="222" w:lineRule="auto"/>
              <w:rPr/>
            </w:pPr>
            <w:r>
              <w:rPr>
                <w:spacing w:val="1"/>
              </w:rPr>
              <w:t>出版物、包装装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潢印刷品印刷</w:t>
            </w:r>
          </w:p>
        </w:tc>
        <w:tc>
          <w:tcPr>
            <w:tcW w:w="2047" w:type="dxa"/>
            <w:vAlign w:val="top"/>
          </w:tcPr>
          <w:p>
            <w:pPr>
              <w:pStyle w:val="TableText"/>
              <w:ind w:left="321"/>
              <w:spacing w:before="270" w:line="219" w:lineRule="auto"/>
              <w:rPr/>
            </w:pPr>
            <w:r>
              <w:rPr>
                <w:spacing w:val="3"/>
              </w:rPr>
              <w:t>市新闻出版局</w:t>
            </w:r>
          </w:p>
        </w:tc>
        <w:tc>
          <w:tcPr>
            <w:tcW w:w="4719" w:type="dxa"/>
            <w:vAlign w:val="top"/>
          </w:tcPr>
          <w:p>
            <w:pPr>
              <w:pStyle w:val="TableText"/>
              <w:ind w:left="61" w:hanging="62"/>
              <w:spacing w:before="130" w:line="218" w:lineRule="auto"/>
              <w:rPr/>
            </w:pPr>
            <w:r>
              <w:rPr>
                <w:spacing w:val="-9"/>
              </w:rPr>
              <w:t>《印刷业管理条例》第十条第三款“个人不得</w:t>
            </w:r>
            <w:r>
              <w:rPr>
                <w:spacing w:val="4"/>
              </w:rPr>
              <w:t xml:space="preserve">   </w:t>
            </w:r>
            <w:r>
              <w:rPr>
                <w:spacing w:val="2"/>
              </w:rPr>
              <w:t>从事出版物、包装装潢印刷品印刷经营活动”</w:t>
            </w:r>
          </w:p>
        </w:tc>
      </w:tr>
      <w:tr>
        <w:trPr>
          <w:trHeight w:val="2358" w:hRule="atLeast"/>
        </w:trPr>
        <w:tc>
          <w:tcPr>
            <w:tcW w:w="179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4" w:right="65" w:hanging="340"/>
              <w:spacing w:before="75" w:line="222" w:lineRule="auto"/>
              <w:rPr/>
            </w:pPr>
            <w:r>
              <w:rPr>
                <w:spacing w:val="3"/>
              </w:rPr>
              <w:t>旅行社、互联网</w:t>
            </w:r>
            <w:r>
              <w:rPr/>
              <w:t xml:space="preserve"> </w:t>
            </w:r>
            <w:r>
              <w:rPr>
                <w:spacing w:val="2"/>
              </w:rPr>
              <w:t>上网服务</w:t>
            </w:r>
          </w:p>
        </w:tc>
        <w:tc>
          <w:tcPr>
            <w:tcW w:w="204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1"/>
              <w:spacing w:before="75" w:line="219" w:lineRule="auto"/>
              <w:rPr/>
            </w:pPr>
            <w:r>
              <w:rPr>
                <w:spacing w:val="4"/>
              </w:rPr>
              <w:t>市文广旅局</w:t>
            </w:r>
          </w:p>
        </w:tc>
        <w:tc>
          <w:tcPr>
            <w:tcW w:w="4719" w:type="dxa"/>
            <w:vAlign w:val="top"/>
          </w:tcPr>
          <w:p>
            <w:pPr>
              <w:pStyle w:val="TableText"/>
              <w:ind w:left="173" w:right="114" w:hanging="174"/>
              <w:spacing w:before="212" w:line="224" w:lineRule="auto"/>
              <w:rPr/>
            </w:pPr>
            <w:r>
              <w:rPr>
                <w:spacing w:val="-1"/>
              </w:rPr>
              <w:t>《旅行社条例》第六条“申请经营国内旅游业</w:t>
            </w:r>
            <w:r>
              <w:rPr>
                <w:spacing w:val="13"/>
              </w:rPr>
              <w:t xml:space="preserve"> </w:t>
            </w:r>
            <w:r>
              <w:rPr/>
              <w:t>务和入境旅游业务的，应当取得企业法人资</w:t>
            </w:r>
          </w:p>
          <w:p>
            <w:pPr>
              <w:pStyle w:val="TableText"/>
              <w:ind w:left="54" w:right="45" w:firstLine="170"/>
              <w:spacing w:before="2" w:line="229" w:lineRule="auto"/>
              <w:rPr/>
            </w:pPr>
            <w:r>
              <w:rPr>
                <w:spacing w:val="-2"/>
              </w:rPr>
              <w:t>格，并且注册资本不少于30万元”;《互联  </w:t>
            </w:r>
            <w:r>
              <w:rPr/>
              <w:t>网上网服务营业场所管理条例》第八条“互联</w:t>
            </w:r>
            <w:r>
              <w:rPr>
                <w:spacing w:val="7"/>
              </w:rPr>
              <w:t xml:space="preserve"> </w:t>
            </w:r>
            <w:r>
              <w:rPr>
                <w:spacing w:val="6"/>
              </w:rPr>
              <w:t>网上网服务营业场所经营单位从事互联网上</w:t>
            </w:r>
            <w:r>
              <w:rPr>
                <w:spacing w:val="2"/>
              </w:rPr>
              <w:t xml:space="preserve">  </w:t>
            </w:r>
            <w:r>
              <w:rPr>
                <w:spacing w:val="5"/>
              </w:rPr>
              <w:t>网服务经营活动，应当具备下列条件：</w:t>
            </w:r>
          </w:p>
          <w:p>
            <w:pPr>
              <w:pStyle w:val="TableText"/>
              <w:spacing w:before="15" w:line="219" w:lineRule="auto"/>
              <w:jc w:val="right"/>
              <w:rPr/>
            </w:pPr>
            <w:r>
              <w:rPr>
                <w:spacing w:val="-15"/>
              </w:rPr>
              <w:t>(一)有企业的名称、住所、组织机构和章程；”</w:t>
            </w:r>
          </w:p>
        </w:tc>
      </w:tr>
      <w:tr>
        <w:trPr>
          <w:trHeight w:val="5869" w:hRule="atLeast"/>
        </w:trPr>
        <w:tc>
          <w:tcPr>
            <w:tcW w:w="179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75" w:line="220" w:lineRule="auto"/>
              <w:jc w:val="both"/>
              <w:rPr/>
            </w:pPr>
            <w:r>
              <w:rPr>
                <w:spacing w:val="12"/>
              </w:rPr>
              <w:t>境外就业中介、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人才中介、因私</w:t>
            </w:r>
            <w:r>
              <w:rPr/>
              <w:t xml:space="preserve">  </w:t>
            </w:r>
            <w:r>
              <w:rPr>
                <w:spacing w:val="16"/>
              </w:rPr>
              <w:t>出入境中介等</w:t>
            </w:r>
          </w:p>
          <w:p>
            <w:pPr>
              <w:pStyle w:val="TableText"/>
              <w:ind w:left="194"/>
              <w:spacing w:before="38" w:line="217" w:lineRule="auto"/>
              <w:rPr/>
            </w:pPr>
            <w:r>
              <w:rPr>
                <w:spacing w:val="2"/>
              </w:rPr>
              <w:t>各类中介机构</w:t>
            </w:r>
          </w:p>
          <w:p>
            <w:pPr>
              <w:pStyle w:val="TableText"/>
              <w:ind w:left="424"/>
              <w:spacing w:line="219" w:lineRule="auto"/>
              <w:rPr/>
            </w:pPr>
            <w:r>
              <w:rPr>
                <w:spacing w:val="2"/>
              </w:rPr>
              <w:t>劳务派遣</w:t>
            </w:r>
          </w:p>
        </w:tc>
        <w:tc>
          <w:tcPr>
            <w:tcW w:w="204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74" w:line="219" w:lineRule="auto"/>
              <w:rPr/>
            </w:pPr>
            <w:r>
              <w:rPr>
                <w:spacing w:val="5"/>
              </w:rPr>
              <w:t>市人社局</w:t>
            </w:r>
          </w:p>
        </w:tc>
        <w:tc>
          <w:tcPr>
            <w:tcW w:w="4719" w:type="dxa"/>
            <w:vAlign w:val="top"/>
          </w:tcPr>
          <w:p>
            <w:pPr>
              <w:pStyle w:val="TableText"/>
              <w:ind w:left="64" w:hanging="64"/>
              <w:spacing w:before="269" w:line="201" w:lineRule="auto"/>
              <w:rPr/>
            </w:pPr>
            <w:r>
              <w:rPr>
                <w:spacing w:val="-5"/>
              </w:rPr>
              <w:t>《境外就业中介管理规定》第五条“从事境外  </w:t>
            </w:r>
            <w:r>
              <w:rPr>
                <w:spacing w:val="2"/>
              </w:rPr>
              <w:t>就业中介活动应当具备以下条件：(一)符合</w:t>
            </w:r>
            <w:r>
              <w:rPr>
                <w:spacing w:val="4"/>
              </w:rPr>
              <w:t xml:space="preserve">   </w:t>
            </w:r>
            <w:r>
              <w:rPr/>
              <w:t>企业法人设立的条件”;《外商投资人才中介  </w:t>
            </w:r>
            <w:r>
              <w:rPr>
                <w:spacing w:val="-3"/>
              </w:rPr>
              <w:t>机构管理暂行规定》第三条“外国企业常驻中 </w:t>
            </w:r>
            <w:r>
              <w:rPr>
                <w:spacing w:val="2"/>
              </w:rPr>
              <w:t>国代表机构和在中国成立的商会等组织不得</w:t>
            </w:r>
            <w:r>
              <w:rPr>
                <w:spacing w:val="4"/>
              </w:rPr>
              <w:t xml:space="preserve">   </w:t>
            </w:r>
            <w:r>
              <w:rPr/>
              <w:t>在中国境内从事人才中介服务”;《中外合资</w:t>
            </w:r>
            <w:r>
              <w:rPr>
                <w:spacing w:val="1"/>
              </w:rPr>
              <w:t xml:space="preserve">  </w:t>
            </w:r>
            <w:r>
              <w:rPr>
                <w:spacing w:val="-3"/>
              </w:rPr>
              <w:t>人才中介机构管理暂行规定》第三条“开展人</w:t>
            </w:r>
            <w:r>
              <w:rPr/>
              <w:t xml:space="preserve">  </w:t>
            </w:r>
            <w:r>
              <w:rPr>
                <w:spacing w:val="-3"/>
              </w:rPr>
              <w:t>才中介服务的外国公司、企业和其他经济组织</w:t>
            </w:r>
            <w:r>
              <w:rPr>
                <w:spacing w:val="1"/>
              </w:rPr>
              <w:t xml:space="preserve">  </w:t>
            </w:r>
            <w:r>
              <w:rPr>
                <w:spacing w:val="-3"/>
              </w:rPr>
              <w:t>在中国境内从事人才中介服务活动，必须与中 </w:t>
            </w:r>
            <w:r>
              <w:rPr>
                <w:spacing w:val="-3"/>
              </w:rPr>
              <w:t>国开展人才中介服务的公司、企业和其他经济</w:t>
            </w:r>
            <w:r>
              <w:rPr/>
              <w:t xml:space="preserve">  </w:t>
            </w:r>
            <w:r>
              <w:rPr>
                <w:spacing w:val="-3"/>
              </w:rPr>
              <w:t>组织合资经营，设立专门的人才中介机构。不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得设立外商独资人才中介机构”;《因私出入</w:t>
            </w:r>
            <w:r>
              <w:rPr>
                <w:spacing w:val="8"/>
              </w:rPr>
              <w:t xml:space="preserve">  </w:t>
            </w:r>
            <w:r>
              <w:rPr>
                <w:spacing w:val="-3"/>
              </w:rPr>
              <w:t>境中介活动管理办法》第六条“设立中介机构</w:t>
            </w:r>
            <w:r>
              <w:rPr>
                <w:spacing w:val="2"/>
              </w:rPr>
              <w:t xml:space="preserve">  </w:t>
            </w:r>
            <w:r>
              <w:rPr>
                <w:spacing w:val="1"/>
              </w:rPr>
              <w:t>应当具备以下条件：(一)符合企业法人设立</w:t>
            </w:r>
            <w:r>
              <w:rPr>
                <w:spacing w:val="4"/>
              </w:rPr>
              <w:t xml:space="preserve">   </w:t>
            </w:r>
            <w:r>
              <w:rPr/>
              <w:t>的条件”;《中华人民共和国劳动合同法》第  </w:t>
            </w:r>
            <w:r>
              <w:rPr>
                <w:spacing w:val="-3"/>
              </w:rPr>
              <w:t>五十七条“经营劳务派遣业务应当具备下列条</w:t>
            </w:r>
            <w:r>
              <w:rPr/>
              <w:t xml:space="preserve">  </w:t>
            </w:r>
            <w:r>
              <w:rPr>
                <w:spacing w:val="2"/>
              </w:rPr>
              <w:t>件：(一)注册资本不得少于人民币二百万元；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(二)有与开展业务相适应的固定的经营场所</w:t>
            </w:r>
            <w:r>
              <w:rPr>
                <w:spacing w:val="3"/>
              </w:rPr>
              <w:t xml:space="preserve">   </w:t>
            </w:r>
            <w:r>
              <w:rPr/>
              <w:t>和设施”;第六十六条“劳动合同用工是我国</w:t>
            </w:r>
            <w:r>
              <w:rPr>
                <w:spacing w:val="4"/>
              </w:rPr>
              <w:t xml:space="preserve">  </w:t>
            </w:r>
            <w:r>
              <w:rPr>
                <w:spacing w:val="-3"/>
              </w:rPr>
              <w:t>的企业基本用工形式。劳务派遣用工是补充形</w:t>
            </w:r>
            <w:r>
              <w:rPr/>
              <w:t xml:space="preserve">  </w:t>
            </w:r>
            <w:r>
              <w:rPr>
                <w:spacing w:val="-3"/>
              </w:rPr>
              <w:t>式，只能在临时性、辅助性或者替代性的工作</w:t>
            </w:r>
            <w:r>
              <w:rPr>
                <w:spacing w:val="2"/>
              </w:rPr>
              <w:t xml:space="preserve">  </w:t>
            </w:r>
            <w:r>
              <w:rPr>
                <w:spacing w:val="45"/>
              </w:rPr>
              <w:t>岗位上实施”</w:t>
            </w:r>
          </w:p>
        </w:tc>
      </w:tr>
    </w:tbl>
    <w:p>
      <w:pPr>
        <w:pStyle w:val="BodyText"/>
        <w:spacing w:line="452" w:lineRule="auto"/>
        <w:rPr/>
      </w:pPr>
      <w:r/>
    </w:p>
    <w:p>
      <w:pPr>
        <w:ind w:left="7394"/>
        <w:spacing w:before="101" w:line="184" w:lineRule="auto"/>
        <w:rPr>
          <w:rFonts w:ascii="SimSun" w:hAnsi="SimSun" w:eastAsia="SimSun" w:cs="SimSun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-3"/>
        </w:rPr>
        <w:t>—15</w:t>
      </w:r>
      <w:r>
        <w:rPr>
          <w:rFonts w:ascii="SimSun" w:hAnsi="SimSun" w:eastAsia="SimSun" w:cs="SimSun"/>
          <w:sz w:val="31"/>
          <w:szCs w:val="31"/>
          <w:spacing w:val="15"/>
        </w:rPr>
        <w:t xml:space="preserve"> </w:t>
      </w:r>
      <w:r>
        <w:rPr>
          <w:rFonts w:ascii="SimSun" w:hAnsi="SimSun" w:eastAsia="SimSun" w:cs="SimSun"/>
          <w:sz w:val="31"/>
          <w:szCs w:val="31"/>
          <w:spacing w:val="-3"/>
        </w:rPr>
        <w:t>—</w:t>
      </w:r>
    </w:p>
    <w:p>
      <w:pPr>
        <w:spacing w:line="184" w:lineRule="auto"/>
        <w:sectPr>
          <w:footerReference w:type="default" r:id="rId15"/>
          <w:pgSz w:w="11910" w:h="16830"/>
          <w:pgMar w:top="1430" w:right="1625" w:bottom="400" w:left="1715" w:header="0" w:footer="0" w:gutter="0"/>
        </w:sectPr>
        <w:rPr>
          <w:rFonts w:ascii="SimSun" w:hAnsi="SimSun" w:eastAsia="SimSun" w:cs="SimSun"/>
          <w:sz w:val="31"/>
          <w:szCs w:val="31"/>
        </w:rPr>
      </w:pPr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8557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93"/>
        <w:gridCol w:w="2047"/>
        <w:gridCol w:w="4717"/>
      </w:tblGrid>
      <w:tr>
        <w:trPr>
          <w:trHeight w:val="2133" w:hRule="atLeast"/>
        </w:trPr>
        <w:tc>
          <w:tcPr>
            <w:tcW w:w="179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4"/>
              <w:spacing w:before="75" w:line="219" w:lineRule="auto"/>
              <w:rPr/>
            </w:pPr>
            <w:r>
              <w:rPr>
                <w:spacing w:val="2"/>
              </w:rPr>
              <w:t>快递服务</w:t>
            </w:r>
          </w:p>
        </w:tc>
        <w:tc>
          <w:tcPr>
            <w:tcW w:w="2047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75" w:line="219" w:lineRule="auto"/>
              <w:rPr/>
            </w:pPr>
            <w:r>
              <w:rPr>
                <w:spacing w:val="5"/>
              </w:rPr>
              <w:t>市邮政局</w:t>
            </w:r>
          </w:p>
        </w:tc>
        <w:tc>
          <w:tcPr>
            <w:tcW w:w="4717" w:type="dxa"/>
            <w:vAlign w:val="top"/>
          </w:tcPr>
          <w:p>
            <w:pPr>
              <w:pStyle w:val="TableText"/>
              <w:ind w:left="54" w:right="11" w:hanging="54"/>
              <w:spacing w:before="100" w:line="230" w:lineRule="auto"/>
              <w:jc w:val="both"/>
              <w:rPr/>
            </w:pPr>
            <w:r>
              <w:rPr>
                <w:spacing w:val="-2"/>
              </w:rPr>
              <w:t>《中华人民共和国邮政法》第五十二条“申请</w:t>
            </w:r>
            <w:r>
              <w:rPr>
                <w:spacing w:val="4"/>
              </w:rPr>
              <w:t xml:space="preserve">  </w:t>
            </w:r>
            <w:r>
              <w:rPr>
                <w:spacing w:val="1"/>
              </w:rPr>
              <w:t>快递业务经营许可，应当具备下列条件：(一)</w:t>
            </w:r>
            <w:r>
              <w:rPr>
                <w:spacing w:val="18"/>
              </w:rPr>
              <w:t xml:space="preserve"> </w:t>
            </w:r>
            <w:r>
              <w:rPr/>
              <w:t>符合企业法人条件；(二)在省、自治区、直辖 </w:t>
            </w:r>
            <w:r>
              <w:rPr/>
              <w:t>市范围内经营的，注册资本不低于人民币五十 </w:t>
            </w:r>
            <w:r>
              <w:rPr/>
              <w:t>万元，跨省、自治区、直辖市经营的，注册资</w:t>
            </w:r>
            <w:r>
              <w:rPr>
                <w:spacing w:val="6"/>
              </w:rPr>
              <w:t xml:space="preserve"> </w:t>
            </w:r>
            <w:r>
              <w:rPr/>
              <w:t>本不低于人民币一百万元，经营国际快递业务 </w:t>
            </w:r>
            <w:r>
              <w:rPr>
                <w:spacing w:val="3"/>
              </w:rPr>
              <w:t>的，注册资本不低于人民币二百万元”。</w:t>
            </w:r>
          </w:p>
        </w:tc>
      </w:tr>
      <w:tr>
        <w:trPr>
          <w:trHeight w:val="6114" w:hRule="atLeast"/>
        </w:trPr>
        <w:tc>
          <w:tcPr>
            <w:tcW w:w="1793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4"/>
              <w:spacing w:before="75" w:line="219" w:lineRule="auto"/>
              <w:rPr/>
            </w:pPr>
            <w:r>
              <w:rPr>
                <w:spacing w:val="2"/>
              </w:rPr>
              <w:t>二手车交易市</w:t>
            </w:r>
          </w:p>
          <w:p>
            <w:pPr>
              <w:pStyle w:val="TableText"/>
              <w:ind w:left="84"/>
              <w:spacing w:before="7" w:line="219" w:lineRule="auto"/>
              <w:rPr/>
            </w:pPr>
            <w:r>
              <w:rPr>
                <w:spacing w:val="2"/>
              </w:rPr>
              <w:t>场经营、汽车销</w:t>
            </w:r>
          </w:p>
          <w:p>
            <w:pPr>
              <w:pStyle w:val="TableText"/>
              <w:ind w:left="84"/>
              <w:spacing w:before="37" w:line="219" w:lineRule="auto"/>
              <w:rPr/>
            </w:pPr>
            <w:r>
              <w:rPr>
                <w:spacing w:val="3"/>
              </w:rPr>
              <w:t>售、报废汽车回</w:t>
            </w:r>
          </w:p>
          <w:p>
            <w:pPr>
              <w:pStyle w:val="TableText"/>
              <w:ind w:left="84"/>
              <w:spacing w:before="7" w:line="219" w:lineRule="auto"/>
              <w:rPr/>
            </w:pPr>
            <w:r>
              <w:rPr>
                <w:spacing w:val="3"/>
              </w:rPr>
              <w:t>收、生产性废旧</w:t>
            </w:r>
          </w:p>
          <w:p>
            <w:pPr>
              <w:pStyle w:val="TableText"/>
              <w:ind w:left="424"/>
              <w:spacing w:before="7" w:line="219" w:lineRule="auto"/>
              <w:rPr/>
            </w:pPr>
            <w:r>
              <w:rPr>
                <w:spacing w:val="-3"/>
              </w:rPr>
              <w:t>金属回收</w:t>
            </w:r>
          </w:p>
        </w:tc>
        <w:tc>
          <w:tcPr>
            <w:tcW w:w="204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1" w:right="314" w:firstLine="119"/>
              <w:spacing w:before="75" w:line="222" w:lineRule="auto"/>
              <w:rPr/>
            </w:pPr>
            <w:r>
              <w:rPr>
                <w:spacing w:val="22"/>
              </w:rPr>
              <w:t>市商务局、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t>市市场监管局</w:t>
            </w:r>
          </w:p>
        </w:tc>
        <w:tc>
          <w:tcPr>
            <w:tcW w:w="4717" w:type="dxa"/>
            <w:vAlign w:val="top"/>
          </w:tcPr>
          <w:p>
            <w:pPr>
              <w:pStyle w:val="TableText"/>
              <w:ind w:left="44" w:right="46" w:firstLine="485"/>
              <w:spacing w:before="43" w:line="231" w:lineRule="auto"/>
              <w:jc w:val="both"/>
              <w:rPr/>
            </w:pPr>
            <w:r>
              <w:rPr>
                <w:spacing w:val="-2"/>
              </w:rPr>
              <w:t>《二手车流通管理办法》第八条“二手车</w:t>
            </w:r>
            <w:r>
              <w:rPr>
                <w:spacing w:val="15"/>
              </w:rPr>
              <w:t xml:space="preserve"> </w:t>
            </w:r>
            <w:r>
              <w:rPr/>
              <w:t>交易市场经营者、二手车经销企业和经纪机构</w:t>
            </w:r>
            <w:r>
              <w:rPr>
                <w:spacing w:val="14"/>
              </w:rPr>
              <w:t xml:space="preserve"> </w:t>
            </w:r>
            <w:r>
              <w:rPr/>
              <w:t>应当具备企业法人条件，并依法到工商行政管</w:t>
            </w:r>
            <w:r>
              <w:rPr>
                <w:spacing w:val="11"/>
              </w:rPr>
              <w:t xml:space="preserve"> </w:t>
            </w:r>
            <w:r>
              <w:rPr>
                <w:spacing w:val="9"/>
              </w:rPr>
              <w:t>理部门办理登记”。</w:t>
            </w:r>
          </w:p>
          <w:p>
            <w:pPr>
              <w:pStyle w:val="TableText"/>
              <w:ind w:left="44" w:right="16" w:firstLine="515"/>
              <w:spacing w:before="28" w:line="229" w:lineRule="auto"/>
              <w:rPr/>
            </w:pPr>
            <w:r>
              <w:rPr>
                <w:spacing w:val="-5"/>
              </w:rPr>
              <w:t>《汽车销售管理办法》第二十七条</w:t>
            </w:r>
            <w:r>
              <w:rPr>
                <w:spacing w:val="37"/>
              </w:rPr>
              <w:t xml:space="preserve">  </w:t>
            </w:r>
            <w:r>
              <w:rPr>
                <w:spacing w:val="-5"/>
              </w:rPr>
              <w:t>“供</w:t>
            </w:r>
            <w:r>
              <w:rPr/>
              <w:t xml:space="preserve"> </w:t>
            </w:r>
            <w:r>
              <w:rPr>
                <w:spacing w:val="6"/>
              </w:rPr>
              <w:t>应商、经销商应当自取得营业执照之日起90</w:t>
            </w:r>
            <w:r>
              <w:rPr>
                <w:spacing w:val="5"/>
              </w:rPr>
              <w:t xml:space="preserve">  </w:t>
            </w:r>
            <w:r>
              <w:rPr>
                <w:spacing w:val="6"/>
              </w:rPr>
              <w:t>日内通过国务院商务主管部门全国汽车流通</w:t>
            </w:r>
            <w:r>
              <w:rPr>
                <w:spacing w:val="7"/>
              </w:rPr>
              <w:t xml:space="preserve">  </w:t>
            </w:r>
            <w:r>
              <w:rPr/>
              <w:t>信息管理系统备案基本信息。供应商、经销商</w:t>
            </w:r>
            <w:r>
              <w:rPr>
                <w:spacing w:val="14"/>
              </w:rPr>
              <w:t xml:space="preserve"> </w:t>
            </w:r>
            <w:r>
              <w:rPr/>
              <w:t>备案的基本信息发生变更的，应当自信息变更</w:t>
            </w:r>
            <w:r>
              <w:rPr>
                <w:spacing w:val="9"/>
              </w:rPr>
              <w:t xml:space="preserve"> </w:t>
            </w:r>
            <w:r>
              <w:rPr>
                <w:spacing w:val="6"/>
              </w:rPr>
              <w:t>之日起30日内完成信息更新”。</w:t>
            </w:r>
          </w:p>
          <w:p>
            <w:pPr>
              <w:pStyle w:val="TableText"/>
              <w:ind w:left="44" w:right="40" w:firstLine="505"/>
              <w:spacing w:before="6" w:line="227" w:lineRule="auto"/>
              <w:jc w:val="both"/>
              <w:rPr/>
            </w:pPr>
            <w:r>
              <w:rPr>
                <w:spacing w:val="-2"/>
              </w:rPr>
              <w:t>《报废汽车回收管理办法》第六条“国家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对报废汽车回收业实行特种行业管理，对报废</w:t>
            </w:r>
            <w:r>
              <w:rPr>
                <w:spacing w:val="10"/>
              </w:rPr>
              <w:t xml:space="preserve"> </w:t>
            </w:r>
            <w:r>
              <w:rPr/>
              <w:t>汽车回收企业实行资格认定制度。除取得报废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汽车回收企业资格认定的外，任何单位和个人</w:t>
            </w:r>
            <w:r>
              <w:rPr>
                <w:spacing w:val="10"/>
              </w:rPr>
              <w:t xml:space="preserve"> </w:t>
            </w:r>
            <w:r>
              <w:rPr>
                <w:spacing w:val="5"/>
              </w:rPr>
              <w:t>不得从事报废汽车回收活动”。</w:t>
            </w:r>
          </w:p>
          <w:p>
            <w:pPr>
              <w:pStyle w:val="TableText"/>
              <w:ind w:left="44" w:firstLine="493"/>
              <w:spacing w:before="19" w:line="228" w:lineRule="auto"/>
              <w:rPr/>
            </w:pPr>
            <w:r>
              <w:rPr>
                <w:spacing w:val="-2"/>
              </w:rPr>
              <w:t>《废旧金属收购业治安管理办法》第三条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“生产性废旧金属，按照国务院有关规定由有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权经营生产性废旧金属收购业的企业收购。收 </w:t>
            </w:r>
            <w:r>
              <w:rPr>
                <w:spacing w:val="3"/>
              </w:rPr>
              <w:t>购废旧金属的其他企业和个体工商户只能收  </w:t>
            </w:r>
            <w:r>
              <w:rPr>
                <w:spacing w:val="-2"/>
              </w:rPr>
              <w:t>购非生产性废旧金属，不得收购生产性废旧金 </w:t>
            </w:r>
            <w:r>
              <w:rPr>
                <w:spacing w:val="21"/>
              </w:rPr>
              <w:t>属”。</w:t>
            </w:r>
          </w:p>
        </w:tc>
      </w:tr>
      <w:tr>
        <w:trPr>
          <w:trHeight w:val="2098" w:hRule="atLeast"/>
        </w:trPr>
        <w:tc>
          <w:tcPr>
            <w:tcW w:w="179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4"/>
              <w:spacing w:before="75" w:line="219" w:lineRule="auto"/>
              <w:rPr/>
            </w:pPr>
            <w:r>
              <w:rPr>
                <w:spacing w:val="1"/>
              </w:rPr>
              <w:t>建筑工程类</w:t>
            </w:r>
          </w:p>
        </w:tc>
        <w:tc>
          <w:tcPr>
            <w:tcW w:w="204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75" w:line="219" w:lineRule="auto"/>
              <w:rPr/>
            </w:pPr>
            <w:r>
              <w:rPr>
                <w:spacing w:val="5"/>
              </w:rPr>
              <w:t>市住建局</w:t>
            </w:r>
          </w:p>
        </w:tc>
        <w:tc>
          <w:tcPr>
            <w:tcW w:w="4717" w:type="dxa"/>
            <w:vAlign w:val="top"/>
          </w:tcPr>
          <w:p>
            <w:pPr>
              <w:pStyle w:val="TableText"/>
              <w:ind w:left="53" w:hanging="53"/>
              <w:spacing w:before="108" w:line="227" w:lineRule="auto"/>
              <w:tabs>
                <w:tab w:val="left" w:pos="4706"/>
              </w:tabs>
              <w:jc w:val="both"/>
              <w:rPr/>
            </w:pPr>
            <w:r>
              <w:rPr>
                <w:spacing w:val="-7"/>
              </w:rPr>
              <w:t>《中华人民共和国建筑法》第十三条“从事建</w:t>
            </w:r>
            <w:r>
              <w:rPr/>
              <w:tab/>
            </w:r>
            <w:r>
              <w:rPr/>
              <w:t xml:space="preserve"> </w:t>
            </w:r>
            <w:r>
              <w:rPr>
                <w:spacing w:val="-8"/>
              </w:rPr>
              <w:t>筑活动的建筑施工企业、勘察单位、设计单位  </w:t>
            </w:r>
            <w:r>
              <w:rPr>
                <w:spacing w:val="-5"/>
              </w:rPr>
              <w:t>和工程监理单位，按照其拥有的注册资本、专</w:t>
            </w:r>
            <w:r>
              <w:rPr>
                <w:spacing w:val="1"/>
              </w:rPr>
              <w:t xml:space="preserve">  </w:t>
            </w:r>
            <w:r>
              <w:rPr>
                <w:spacing w:val="-8"/>
              </w:rPr>
              <w:t>业技术人员、技术装备和已完成的建筑工程业  </w:t>
            </w:r>
            <w:r>
              <w:rPr>
                <w:spacing w:val="-5"/>
              </w:rPr>
              <w:t>绩等资质条件，划分为不同的资质等级，经资</w:t>
            </w:r>
            <w:r>
              <w:rPr>
                <w:spacing w:val="3"/>
              </w:rPr>
              <w:t xml:space="preserve">  </w:t>
            </w:r>
            <w:r>
              <w:rPr>
                <w:spacing w:val="-8"/>
              </w:rPr>
              <w:t>质审查合格，取得相应等级的资质证书后，方  </w:t>
            </w:r>
            <w:r>
              <w:rPr>
                <w:spacing w:val="-9"/>
              </w:rPr>
              <w:t>可在其资质等级许可的范围内从事建筑活动”。</w:t>
            </w:r>
          </w:p>
        </w:tc>
      </w:tr>
      <w:tr>
        <w:trPr>
          <w:trHeight w:val="1274" w:hRule="atLeast"/>
        </w:trPr>
        <w:tc>
          <w:tcPr>
            <w:tcW w:w="1793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4"/>
              <w:spacing w:before="74" w:line="219" w:lineRule="auto"/>
              <w:rPr/>
            </w:pPr>
            <w:r>
              <w:rPr>
                <w:spacing w:val="4"/>
              </w:rPr>
              <w:t>文化教育培训</w:t>
            </w:r>
          </w:p>
        </w:tc>
        <w:tc>
          <w:tcPr>
            <w:tcW w:w="204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"/>
              <w:spacing w:before="75" w:line="219" w:lineRule="auto"/>
              <w:rPr/>
            </w:pPr>
            <w:r>
              <w:rPr>
                <w:spacing w:val="1"/>
              </w:rPr>
              <w:t>市教育局、市文广</w:t>
            </w:r>
          </w:p>
          <w:p>
            <w:pPr>
              <w:pStyle w:val="TableText"/>
              <w:ind w:left="211"/>
              <w:spacing w:before="7" w:line="219" w:lineRule="auto"/>
              <w:rPr/>
            </w:pPr>
            <w:r>
              <w:rPr>
                <w:spacing w:val="2"/>
              </w:rPr>
              <w:t>旅局、市体育局</w:t>
            </w:r>
          </w:p>
        </w:tc>
        <w:tc>
          <w:tcPr>
            <w:tcW w:w="4717" w:type="dxa"/>
            <w:vAlign w:val="top"/>
          </w:tcPr>
          <w:p>
            <w:pPr>
              <w:pStyle w:val="TableText"/>
              <w:ind w:left="44" w:right="70" w:firstLine="55"/>
              <w:spacing w:before="277" w:line="234" w:lineRule="auto"/>
              <w:jc w:val="both"/>
              <w:rPr/>
            </w:pPr>
            <w:r>
              <w:rPr/>
              <w:t>《中华人民共和国教育法》第三十二条学校</w:t>
            </w:r>
            <w:r>
              <w:rPr>
                <w:spacing w:val="1"/>
              </w:rPr>
              <w:t xml:space="preserve">  </w:t>
            </w:r>
            <w:r>
              <w:rPr>
                <w:spacing w:val="-1"/>
              </w:rPr>
              <w:t>及其他教育机构具备法人条件的，自批准设立</w:t>
            </w:r>
            <w:r>
              <w:rPr>
                <w:spacing w:val="10"/>
              </w:rPr>
              <w:t xml:space="preserve"> </w:t>
            </w:r>
            <w:r>
              <w:rPr>
                <w:spacing w:val="5"/>
              </w:rPr>
              <w:t>或者登记注册之日起取得法人资格。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33"/>
          <w:pgSz w:w="11910" w:h="16830"/>
          <w:pgMar w:top="1430" w:right="1627" w:bottom="2094" w:left="1715" w:header="0" w:footer="1805" w:gutter="0"/>
        </w:sectPr>
        <w:rPr/>
      </w:pPr>
    </w:p>
    <w:p>
      <w:pPr>
        <w:spacing w:before="20"/>
        <w:rPr/>
      </w:pPr>
      <w:r/>
    </w:p>
    <w:p>
      <w:pPr>
        <w:spacing w:before="20"/>
        <w:rPr/>
      </w:pPr>
      <w:r/>
    </w:p>
    <w:p>
      <w:pPr>
        <w:spacing w:before="19"/>
        <w:rPr/>
      </w:pPr>
      <w:r/>
    </w:p>
    <w:p>
      <w:pPr>
        <w:spacing w:before="19"/>
        <w:rPr/>
      </w:pPr>
      <w:r/>
    </w:p>
    <w:tbl>
      <w:tblPr>
        <w:tblStyle w:val="TableNormal"/>
        <w:tblW w:w="855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93"/>
        <w:gridCol w:w="2057"/>
        <w:gridCol w:w="4709"/>
      </w:tblGrid>
      <w:tr>
        <w:trPr>
          <w:trHeight w:val="3921" w:hRule="atLeast"/>
        </w:trPr>
        <w:tc>
          <w:tcPr>
            <w:tcW w:w="179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4" w:right="294" w:hanging="339"/>
              <w:spacing w:before="74" w:line="214" w:lineRule="auto"/>
              <w:rPr/>
            </w:pPr>
            <w:r>
              <w:rPr>
                <w:spacing w:val="4"/>
              </w:rPr>
              <w:t>危险化学品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经营</w:t>
            </w:r>
          </w:p>
        </w:tc>
        <w:tc>
          <w:tcPr>
            <w:tcW w:w="205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75" w:line="219" w:lineRule="auto"/>
              <w:rPr/>
            </w:pPr>
            <w:r>
              <w:rPr>
                <w:spacing w:val="5"/>
              </w:rPr>
              <w:t>市应急局</w:t>
            </w:r>
          </w:p>
        </w:tc>
        <w:tc>
          <w:tcPr>
            <w:tcW w:w="470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 w:firstLine="34"/>
              <w:spacing w:before="75" w:line="229" w:lineRule="auto"/>
              <w:jc w:val="both"/>
              <w:rPr/>
            </w:pPr>
            <w:r>
              <w:rPr>
                <w:spacing w:val="-10"/>
              </w:rPr>
              <w:t>《安全生产法》第二十四条“矿山、金属冶</w:t>
            </w:r>
            <w:r>
              <w:rPr>
                <w:spacing w:val="-11"/>
              </w:rPr>
              <w:t>炼、</w:t>
            </w:r>
            <w:r>
              <w:rPr/>
              <w:t xml:space="preserve"> </w:t>
            </w:r>
            <w:r>
              <w:rPr>
                <w:spacing w:val="-9"/>
              </w:rPr>
              <w:t>建筑施工、运输单位和危险物品的生产、经营、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储存、装卸单位，应当设置安全生产管理机构</w:t>
            </w:r>
            <w:r>
              <w:rPr>
                <w:spacing w:val="3"/>
              </w:rPr>
              <w:t xml:space="preserve">  </w:t>
            </w:r>
            <w:r>
              <w:rPr>
                <w:spacing w:val="1"/>
              </w:rPr>
              <w:t>或者配备专职安全生产管理人员”;</w:t>
            </w:r>
          </w:p>
          <w:p>
            <w:pPr>
              <w:pStyle w:val="TableText"/>
              <w:ind w:left="54" w:hanging="54"/>
              <w:spacing w:before="25" w:line="230" w:lineRule="auto"/>
              <w:jc w:val="both"/>
              <w:rPr/>
            </w:pPr>
            <w:r>
              <w:rPr>
                <w:spacing w:val="-1"/>
              </w:rPr>
              <w:t>《危险化学品安全管理条例》第十四条  危险</w:t>
            </w:r>
            <w:r>
              <w:rPr/>
              <w:t xml:space="preserve">  </w:t>
            </w:r>
            <w:r>
              <w:rPr>
                <w:spacing w:val="-1"/>
              </w:rPr>
              <w:t>化学品生产企业进行生产前，应当依照《安全</w:t>
            </w:r>
            <w:r>
              <w:rPr>
                <w:spacing w:val="18"/>
              </w:rPr>
              <w:t xml:space="preserve"> </w:t>
            </w:r>
            <w:r>
              <w:rPr/>
              <w:t>生产许可证条例》的规定，取得危险化学品安</w:t>
            </w:r>
            <w:r>
              <w:rPr>
                <w:spacing w:val="1"/>
              </w:rPr>
              <w:t xml:space="preserve"> </w:t>
            </w:r>
            <w:r>
              <w:rPr/>
              <w:t>全生产许可证。第三十三条  国家对危险化学 </w:t>
            </w:r>
            <w:r>
              <w:rPr>
                <w:spacing w:val="2"/>
              </w:rPr>
              <w:t>品经营(包括仓储经营，下同)实行许可制度。</w:t>
            </w:r>
            <w:r>
              <w:rPr>
                <w:spacing w:val="1"/>
              </w:rPr>
              <w:t xml:space="preserve"> </w:t>
            </w:r>
            <w:r>
              <w:rPr/>
              <w:t>未经许可，任何单位和个人不得经营危险化学 </w:t>
            </w:r>
            <w:r>
              <w:rPr>
                <w:spacing w:val="20"/>
              </w:rPr>
              <w:t>品</w:t>
            </w:r>
            <w:r>
              <w:rPr>
                <w:spacing w:val="-59"/>
              </w:rPr>
              <w:t xml:space="preserve"> </w:t>
            </w:r>
            <w:r>
              <w:rPr>
                <w:spacing w:val="20"/>
              </w:rPr>
              <w:t>。</w:t>
            </w:r>
          </w:p>
        </w:tc>
      </w:tr>
      <w:tr>
        <w:trPr>
          <w:trHeight w:val="2767" w:hRule="atLeast"/>
        </w:trPr>
        <w:tc>
          <w:tcPr>
            <w:tcW w:w="179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4" w:right="217"/>
              <w:spacing w:before="75" w:line="225" w:lineRule="auto"/>
              <w:rPr/>
            </w:pPr>
            <w:r>
              <w:rPr>
                <w:spacing w:val="-2"/>
              </w:rPr>
              <w:t>农资及农业化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生产服务行业</w:t>
            </w:r>
          </w:p>
        </w:tc>
        <w:tc>
          <w:tcPr>
            <w:tcW w:w="205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75" w:line="219" w:lineRule="auto"/>
              <w:rPr/>
            </w:pPr>
            <w:r>
              <w:rPr>
                <w:spacing w:val="3"/>
              </w:rPr>
              <w:t>市农业农村局</w:t>
            </w:r>
          </w:p>
        </w:tc>
        <w:tc>
          <w:tcPr>
            <w:tcW w:w="4709" w:type="dxa"/>
            <w:vAlign w:val="top"/>
          </w:tcPr>
          <w:p>
            <w:pPr>
              <w:pStyle w:val="TableText"/>
              <w:spacing w:before="283" w:line="219" w:lineRule="auto"/>
              <w:rPr/>
            </w:pPr>
            <w:r>
              <w:rPr/>
              <w:t>《兽药管理条例》第十一条“从事兽药生产的</w:t>
            </w:r>
          </w:p>
          <w:p>
            <w:pPr>
              <w:pStyle w:val="TableText"/>
              <w:ind w:left="44"/>
              <w:spacing w:before="17" w:line="219" w:lineRule="auto"/>
              <w:rPr/>
            </w:pPr>
            <w:r>
              <w:rPr/>
              <w:t>企业，应当符合国家兽药行业发展规划和产业</w:t>
            </w:r>
          </w:p>
          <w:p>
            <w:pPr>
              <w:pStyle w:val="TableText"/>
              <w:ind w:left="164"/>
              <w:spacing w:before="7" w:line="219" w:lineRule="auto"/>
              <w:rPr/>
            </w:pPr>
            <w:r>
              <w:rPr>
                <w:spacing w:val="-1"/>
              </w:rPr>
              <w:t>政策，并具备下列条件：(一)与所生产的兽</w:t>
            </w:r>
          </w:p>
          <w:p>
            <w:pPr>
              <w:pStyle w:val="TableText"/>
              <w:ind w:left="44"/>
              <w:spacing w:before="17" w:line="219" w:lineRule="auto"/>
              <w:rPr/>
            </w:pPr>
            <w:r>
              <w:rPr/>
              <w:t>药相适应的兽医学、药学或者相关专业的技术</w:t>
            </w:r>
          </w:p>
          <w:p>
            <w:pPr>
              <w:pStyle w:val="TableText"/>
              <w:ind w:left="104"/>
              <w:spacing w:before="17" w:line="219" w:lineRule="auto"/>
              <w:rPr/>
            </w:pPr>
            <w:r>
              <w:rPr>
                <w:spacing w:val="-1"/>
              </w:rPr>
              <w:t>人员”;《农药生产管理办法》第六条“开办</w:t>
            </w:r>
          </w:p>
          <w:p>
            <w:pPr>
              <w:pStyle w:val="TableText"/>
              <w:ind w:left="104"/>
              <w:spacing w:before="27" w:line="219" w:lineRule="auto"/>
              <w:rPr/>
            </w:pPr>
            <w:r>
              <w:rPr>
                <w:spacing w:val="-1"/>
              </w:rPr>
              <w:t>农药生产企业(包括联营、设立分厂和非农药</w:t>
            </w:r>
          </w:p>
          <w:p>
            <w:pPr>
              <w:pStyle w:val="TableText"/>
              <w:ind w:left="134" w:right="153" w:firstLine="30"/>
              <w:spacing w:before="14" w:line="223" w:lineRule="auto"/>
              <w:rPr/>
            </w:pPr>
            <w:r>
              <w:rPr/>
              <w:t>生产企业设立农药生产车间),应当向国家经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贸委申报核准”。</w:t>
            </w:r>
          </w:p>
        </w:tc>
      </w:tr>
      <w:tr>
        <w:trPr>
          <w:trHeight w:val="3751" w:hRule="atLeast"/>
        </w:trPr>
        <w:tc>
          <w:tcPr>
            <w:tcW w:w="1793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4" w:right="78" w:hanging="460"/>
              <w:spacing w:before="74" w:line="223" w:lineRule="auto"/>
              <w:rPr/>
            </w:pPr>
            <w:r>
              <w:rPr>
                <w:spacing w:val="1"/>
              </w:rPr>
              <w:t>药品、医疗器械 </w:t>
            </w:r>
            <w:r>
              <w:rPr>
                <w:spacing w:val="5"/>
              </w:rPr>
              <w:t>的经营</w:t>
            </w:r>
          </w:p>
        </w:tc>
        <w:tc>
          <w:tcPr>
            <w:tcW w:w="20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75" w:line="219" w:lineRule="auto"/>
              <w:rPr/>
            </w:pPr>
            <w:r>
              <w:rPr>
                <w:spacing w:val="3"/>
              </w:rPr>
              <w:t>市市场监管局</w:t>
            </w:r>
          </w:p>
        </w:tc>
        <w:tc>
          <w:tcPr>
            <w:tcW w:w="470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4" w:line="219" w:lineRule="auto"/>
              <w:rPr/>
            </w:pPr>
            <w:r>
              <w:rPr>
                <w:spacing w:val="-2"/>
              </w:rPr>
              <w:t>《药品经营质量管理规范》第四条“药品批发</w:t>
            </w:r>
          </w:p>
          <w:p>
            <w:pPr>
              <w:pStyle w:val="TableText"/>
              <w:ind w:left="44" w:firstLine="120"/>
              <w:spacing w:before="1" w:line="232" w:lineRule="auto"/>
              <w:rPr/>
            </w:pPr>
            <w:r>
              <w:rPr>
                <w:spacing w:val="-3"/>
              </w:rPr>
              <w:t>和零售连锁企业应按照依法批准的经营方式  </w:t>
            </w:r>
            <w:r>
              <w:rPr>
                <w:spacing w:val="2"/>
              </w:rPr>
              <w:t>和经营范围，从事药品经营活动”;《医疗器</w:t>
            </w:r>
            <w:r>
              <w:rPr>
                <w:spacing w:val="4"/>
              </w:rPr>
              <w:t xml:space="preserve">  </w:t>
            </w:r>
            <w:r>
              <w:rPr/>
              <w:t>械监督管理条例》第四十五条“医疗器械经营</w:t>
            </w:r>
            <w:r>
              <w:rPr>
                <w:spacing w:val="13"/>
              </w:rPr>
              <w:t xml:space="preserve"> </w:t>
            </w:r>
            <w:r>
              <w:rPr/>
              <w:t>企业、使用单位应当从具备合法资质的医疗器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械注册人、备案人、生产经营企业购进医疗器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械。购进医疗器械时，应当查验供货者的资质</w:t>
            </w:r>
            <w:r>
              <w:rPr>
                <w:spacing w:val="4"/>
              </w:rPr>
              <w:t xml:space="preserve"> </w:t>
            </w:r>
            <w:r>
              <w:rPr/>
              <w:t>和医疗器械的合格证明文件，建立进货查验记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录制度。从事第二类、第三类医疗器械批发业</w:t>
            </w:r>
            <w:r>
              <w:rPr>
                <w:spacing w:val="8"/>
              </w:rPr>
              <w:t xml:space="preserve"> </w:t>
            </w:r>
            <w:r>
              <w:rPr>
                <w:spacing w:val="2"/>
              </w:rPr>
              <w:t>务以及第三类医疗器械零售业务的经营企业，</w:t>
            </w:r>
            <w:r>
              <w:rPr>
                <w:spacing w:val="13"/>
              </w:rPr>
              <w:t xml:space="preserve"> </w:t>
            </w:r>
            <w:r>
              <w:rPr>
                <w:spacing w:val="5"/>
              </w:rPr>
              <w:t>还应当建立销售记录制度”。</w:t>
            </w:r>
          </w:p>
        </w:tc>
      </w:tr>
    </w:tbl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7345"/>
        <w:spacing w:before="98" w:line="184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-3"/>
        </w:rPr>
        <w:t>—17—</w:t>
      </w:r>
    </w:p>
    <w:p>
      <w:pPr>
        <w:spacing w:line="184" w:lineRule="auto"/>
        <w:sectPr>
          <w:footerReference w:type="default" r:id="rId15"/>
          <w:pgSz w:w="11910" w:h="16830"/>
          <w:pgMar w:top="1430" w:right="1635" w:bottom="400" w:left="1705" w:header="0" w:footer="0" w:gutter="0"/>
        </w:sectPr>
        <w:rPr>
          <w:rFonts w:ascii="SimSun" w:hAnsi="SimSun" w:eastAsia="SimSun" w:cs="SimSun"/>
          <w:sz w:val="30"/>
          <w:szCs w:val="30"/>
        </w:rPr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419"/>
        <w:spacing w:before="104" w:line="224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1"/>
        </w:rPr>
        <w:t>附件3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2950"/>
        <w:spacing w:before="133" w:line="219" w:lineRule="auto"/>
        <w:rPr>
          <w:rFonts w:ascii="SimSun" w:hAnsi="SimSun" w:eastAsia="SimSun" w:cs="SimSun"/>
          <w:sz w:val="41"/>
          <w:szCs w:val="41"/>
        </w:rPr>
      </w:pPr>
      <w:r>
        <w:rPr>
          <w:rFonts w:ascii="SimSun" w:hAnsi="SimSun" w:eastAsia="SimSun" w:cs="SimSun"/>
          <w:sz w:val="41"/>
          <w:szCs w:val="41"/>
          <w:b/>
          <w:bCs/>
          <w:spacing w:val="2"/>
        </w:rPr>
        <w:t>重点培育对象名录</w:t>
      </w:r>
    </w:p>
    <w:p>
      <w:pPr>
        <w:spacing w:before="47"/>
        <w:rPr/>
      </w:pPr>
      <w:r/>
    </w:p>
    <w:p>
      <w:pPr>
        <w:spacing w:before="47"/>
        <w:rPr/>
      </w:pPr>
      <w:r/>
    </w:p>
    <w:tbl>
      <w:tblPr>
        <w:tblStyle w:val="TableNormal"/>
        <w:tblW w:w="923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4"/>
        <w:gridCol w:w="1039"/>
        <w:gridCol w:w="610"/>
        <w:gridCol w:w="599"/>
        <w:gridCol w:w="619"/>
        <w:gridCol w:w="609"/>
        <w:gridCol w:w="600"/>
        <w:gridCol w:w="619"/>
        <w:gridCol w:w="1039"/>
        <w:gridCol w:w="1069"/>
        <w:gridCol w:w="629"/>
        <w:gridCol w:w="704"/>
      </w:tblGrid>
      <w:tr>
        <w:trPr>
          <w:trHeight w:val="893" w:hRule="atLeast"/>
        </w:trPr>
        <w:tc>
          <w:tcPr>
            <w:tcW w:w="1094" w:type="dxa"/>
            <w:vAlign w:val="top"/>
          </w:tcPr>
          <w:p>
            <w:pPr>
              <w:pStyle w:val="TableText"/>
              <w:ind w:left="134"/>
              <w:spacing w:before="5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统一社会</w:t>
            </w:r>
          </w:p>
          <w:p>
            <w:pPr>
              <w:pStyle w:val="TableText"/>
              <w:ind w:left="134"/>
              <w:spacing w:before="7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信用代码</w:t>
            </w:r>
          </w:p>
          <w:p>
            <w:pPr>
              <w:pStyle w:val="TableText"/>
              <w:ind w:left="335"/>
              <w:spacing w:before="4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证号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10" w:right="104" w:hanging="100"/>
              <w:spacing w:before="213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个体工商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户名称</w:t>
            </w:r>
          </w:p>
        </w:tc>
        <w:tc>
          <w:tcPr>
            <w:tcW w:w="610" w:type="dxa"/>
            <w:vAlign w:val="top"/>
          </w:tcPr>
          <w:p>
            <w:pPr>
              <w:pStyle w:val="TableText"/>
              <w:ind w:left="92" w:right="98"/>
              <w:spacing w:before="193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所在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区县</w:t>
            </w:r>
          </w:p>
        </w:tc>
        <w:tc>
          <w:tcPr>
            <w:tcW w:w="599" w:type="dxa"/>
            <w:vAlign w:val="top"/>
          </w:tcPr>
          <w:p>
            <w:pPr>
              <w:pStyle w:val="TableText"/>
              <w:ind w:left="91" w:right="83"/>
              <w:spacing w:before="193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地址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02" w:right="87"/>
              <w:spacing w:before="195" w:line="24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9"/>
              </w:rPr>
              <w:t>联系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3"/>
              </w:rPr>
              <w:t>电话</w:t>
            </w:r>
          </w:p>
        </w:tc>
        <w:tc>
          <w:tcPr>
            <w:tcW w:w="609" w:type="dxa"/>
            <w:vAlign w:val="top"/>
          </w:tcPr>
          <w:p>
            <w:pPr>
              <w:pStyle w:val="TableText"/>
              <w:ind w:left="94" w:right="91"/>
              <w:spacing w:before="214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成立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6"/>
              </w:rPr>
              <w:t>日期</w:t>
            </w:r>
          </w:p>
        </w:tc>
        <w:tc>
          <w:tcPr>
            <w:tcW w:w="600" w:type="dxa"/>
            <w:vAlign w:val="top"/>
          </w:tcPr>
          <w:p>
            <w:pPr>
              <w:pStyle w:val="TableText"/>
              <w:ind w:left="95" w:right="101"/>
              <w:spacing w:before="193" w:line="24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行业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代码</w:t>
            </w:r>
          </w:p>
        </w:tc>
        <w:tc>
          <w:tcPr>
            <w:tcW w:w="619" w:type="dxa"/>
            <w:vAlign w:val="top"/>
          </w:tcPr>
          <w:p>
            <w:pPr>
              <w:pStyle w:val="TableText"/>
              <w:ind w:left="104" w:right="87"/>
              <w:spacing w:before="194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行业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8"/>
              </w:rPr>
              <w:t>类别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15" w:right="104" w:hanging="100"/>
              <w:spacing w:before="202" w:line="24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营业收入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10"/>
              </w:rPr>
              <w:t>(万元)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226" w:right="104" w:hanging="100"/>
              <w:spacing w:before="203" w:line="24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从业人员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10"/>
              </w:rPr>
              <w:t>(人数)</w:t>
            </w:r>
          </w:p>
        </w:tc>
        <w:tc>
          <w:tcPr>
            <w:tcW w:w="629" w:type="dxa"/>
            <w:vAlign w:val="top"/>
          </w:tcPr>
          <w:p>
            <w:pPr>
              <w:pStyle w:val="TableText"/>
              <w:ind w:left="107" w:right="86"/>
              <w:spacing w:before="203" w:line="24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2"/>
              </w:rPr>
              <w:t>信用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状况</w:t>
            </w:r>
          </w:p>
        </w:tc>
        <w:tc>
          <w:tcPr>
            <w:tcW w:w="704" w:type="dxa"/>
            <w:vAlign w:val="top"/>
          </w:tcPr>
          <w:p>
            <w:pPr>
              <w:pStyle w:val="TableText"/>
              <w:ind w:left="149" w:right="135"/>
              <w:spacing w:before="20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行业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荣誉</w:t>
            </w:r>
          </w:p>
        </w:tc>
      </w:tr>
      <w:tr>
        <w:trPr>
          <w:trHeight w:val="589" w:hRule="atLeast"/>
        </w:trPr>
        <w:tc>
          <w:tcPr>
            <w:tcW w:w="10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08" w:hRule="atLeast"/>
        </w:trPr>
        <w:tc>
          <w:tcPr>
            <w:tcW w:w="10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89" w:hRule="atLeast"/>
        </w:trPr>
        <w:tc>
          <w:tcPr>
            <w:tcW w:w="10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89" w:hRule="atLeast"/>
        </w:trPr>
        <w:tc>
          <w:tcPr>
            <w:tcW w:w="10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8" w:hRule="atLeast"/>
        </w:trPr>
        <w:tc>
          <w:tcPr>
            <w:tcW w:w="10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4" w:hRule="atLeast"/>
        </w:trPr>
        <w:tc>
          <w:tcPr>
            <w:tcW w:w="10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524"/>
        <w:spacing w:before="104" w:line="184" w:lineRule="auto"/>
        <w:rPr>
          <w:rFonts w:ascii="SimSun" w:hAnsi="SimSun" w:eastAsia="SimSun" w:cs="SimSun"/>
          <w:sz w:val="32"/>
          <w:szCs w:val="32"/>
        </w:rPr>
      </w:pPr>
      <w:r>
        <w:rPr>
          <w:rFonts w:ascii="SimSun" w:hAnsi="SimSun" w:eastAsia="SimSun" w:cs="SimSun"/>
          <w:sz w:val="32"/>
          <w:szCs w:val="32"/>
          <w:spacing w:val="-3"/>
        </w:rPr>
        <w:t>—18—</w:t>
      </w:r>
    </w:p>
    <w:p>
      <w:pPr>
        <w:spacing w:line="184" w:lineRule="auto"/>
        <w:sectPr>
          <w:pgSz w:w="11910" w:h="16830"/>
          <w:pgMar w:top="1430" w:right="1264" w:bottom="400" w:left="1405" w:header="0" w:footer="0" w:gutter="0"/>
        </w:sectPr>
        <w:rPr>
          <w:rFonts w:ascii="SimSun" w:hAnsi="SimSun" w:eastAsia="SimSun" w:cs="SimSun"/>
          <w:sz w:val="32"/>
          <w:szCs w:val="32"/>
        </w:rPr>
      </w:pP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39"/>
        <w:spacing w:before="101" w:line="22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14"/>
        </w:rPr>
        <w:t>附件4</w:t>
      </w:r>
    </w:p>
    <w:p>
      <w:pPr>
        <w:ind w:left="2366"/>
        <w:spacing w:before="283" w:line="219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-16"/>
        </w:rPr>
        <w:t>“个转企”政策清单</w:t>
      </w:r>
    </w:p>
    <w:p>
      <w:pPr>
        <w:spacing w:line="203" w:lineRule="exact"/>
        <w:rPr/>
      </w:pPr>
      <w:r/>
    </w:p>
    <w:tbl>
      <w:tblPr>
        <w:tblStyle w:val="TableNormal"/>
        <w:tblW w:w="852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03"/>
        <w:gridCol w:w="5144"/>
        <w:gridCol w:w="1573"/>
      </w:tblGrid>
      <w:tr>
        <w:trPr>
          <w:trHeight w:val="624" w:hRule="atLeast"/>
        </w:trPr>
        <w:tc>
          <w:tcPr>
            <w:tcW w:w="1803" w:type="dxa"/>
            <w:vAlign w:val="top"/>
          </w:tcPr>
          <w:p>
            <w:pPr>
              <w:pStyle w:val="TableText"/>
              <w:ind w:left="458"/>
              <w:spacing w:before="20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政策名称</w:t>
            </w:r>
          </w:p>
        </w:tc>
        <w:tc>
          <w:tcPr>
            <w:tcW w:w="5144" w:type="dxa"/>
            <w:vAlign w:val="top"/>
          </w:tcPr>
          <w:p>
            <w:pPr>
              <w:pStyle w:val="TableText"/>
              <w:ind w:left="2125"/>
              <w:spacing w:before="20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5"/>
              </w:rPr>
              <w:t>具体内容</w:t>
            </w:r>
          </w:p>
        </w:tc>
        <w:tc>
          <w:tcPr>
            <w:tcW w:w="1573" w:type="dxa"/>
            <w:vAlign w:val="top"/>
          </w:tcPr>
          <w:p>
            <w:pPr>
              <w:pStyle w:val="TableText"/>
              <w:ind w:left="341"/>
              <w:spacing w:before="20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责任单位</w:t>
            </w:r>
          </w:p>
        </w:tc>
      </w:tr>
      <w:tr>
        <w:trPr>
          <w:trHeight w:val="1758" w:hRule="atLeast"/>
        </w:trPr>
        <w:tc>
          <w:tcPr>
            <w:tcW w:w="1803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5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延续个体资质</w:t>
            </w:r>
          </w:p>
        </w:tc>
        <w:tc>
          <w:tcPr>
            <w:tcW w:w="5144" w:type="dxa"/>
            <w:vAlign w:val="top"/>
          </w:tcPr>
          <w:p>
            <w:pPr>
              <w:pStyle w:val="TableText"/>
              <w:ind w:left="472"/>
              <w:spacing w:before="11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转型企业原则上可保留原个体工商户获得的</w:t>
            </w:r>
          </w:p>
          <w:p>
            <w:pPr>
              <w:pStyle w:val="TableText"/>
              <w:ind w:left="122" w:right="137" w:firstLine="130"/>
              <w:spacing w:before="80" w:line="27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各种荣誉称号，市场监管部门支持其原有的专利</w:t>
            </w:r>
            <w:r>
              <w:rPr>
                <w:sz w:val="22"/>
                <w:szCs w:val="22"/>
                <w:spacing w:val="7"/>
              </w:rPr>
              <w:t xml:space="preserve">  </w:t>
            </w:r>
            <w:r>
              <w:rPr>
                <w:sz w:val="22"/>
                <w:szCs w:val="22"/>
                <w:spacing w:val="1"/>
              </w:rPr>
              <w:t>权、商标权等权益顺利转移至转型企业名下。转型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企业申报招投标项目资格，转型前个体工商户经营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状况等历史信息，可延续至转型企业。</w:t>
            </w:r>
          </w:p>
        </w:tc>
        <w:tc>
          <w:tcPr>
            <w:tcW w:w="1573" w:type="dxa"/>
            <w:vAlign w:val="top"/>
          </w:tcPr>
          <w:p>
            <w:pPr>
              <w:pStyle w:val="TableText"/>
              <w:ind w:left="118" w:right="106"/>
              <w:spacing w:before="238" w:line="32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6"/>
              </w:rPr>
              <w:t>市市场监管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局，各行业主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管部门、各区</w:t>
            </w:r>
          </w:p>
          <w:p>
            <w:pPr>
              <w:pStyle w:val="TableText"/>
              <w:ind w:left="218"/>
              <w:spacing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8"/>
              </w:rPr>
              <w:t>(</w:t>
            </w:r>
            <w:r>
              <w:rPr>
                <w:sz w:val="22"/>
                <w:szCs w:val="22"/>
                <w:spacing w:val="-30"/>
              </w:rPr>
              <w:t xml:space="preserve"> </w:t>
            </w:r>
            <w:r>
              <w:rPr>
                <w:sz w:val="22"/>
                <w:szCs w:val="22"/>
                <w:spacing w:val="-18"/>
              </w:rPr>
              <w:t>市</w:t>
            </w:r>
            <w:r>
              <w:rPr>
                <w:sz w:val="22"/>
                <w:szCs w:val="22"/>
                <w:spacing w:val="-35"/>
              </w:rPr>
              <w:t xml:space="preserve"> </w:t>
            </w:r>
            <w:r>
              <w:rPr>
                <w:sz w:val="22"/>
                <w:szCs w:val="22"/>
                <w:spacing w:val="-18"/>
              </w:rPr>
              <w:t>)</w:t>
            </w:r>
            <w:r>
              <w:rPr>
                <w:sz w:val="22"/>
                <w:szCs w:val="22"/>
                <w:spacing w:val="-35"/>
              </w:rPr>
              <w:t xml:space="preserve"> </w:t>
            </w:r>
            <w:r>
              <w:rPr>
                <w:sz w:val="22"/>
                <w:szCs w:val="22"/>
                <w:spacing w:val="-18"/>
              </w:rPr>
              <w:t>县</w:t>
            </w:r>
          </w:p>
        </w:tc>
      </w:tr>
      <w:tr>
        <w:trPr>
          <w:trHeight w:val="3447" w:hRule="atLeast"/>
        </w:trPr>
        <w:tc>
          <w:tcPr>
            <w:tcW w:w="1803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/>
              <w:spacing w:before="72" w:line="359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  <w:position w:val="10"/>
              </w:rPr>
              <w:t>降低资产</w:t>
            </w:r>
          </w:p>
          <w:p>
            <w:pPr>
              <w:pStyle w:val="TableText"/>
              <w:ind w:left="455"/>
              <w:spacing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转移成本</w:t>
            </w:r>
          </w:p>
        </w:tc>
        <w:tc>
          <w:tcPr>
            <w:tcW w:w="5144" w:type="dxa"/>
            <w:vAlign w:val="top"/>
          </w:tcPr>
          <w:p>
            <w:pPr>
              <w:pStyle w:val="TableText"/>
              <w:ind w:left="592"/>
              <w:spacing w:before="10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转型前的个体工商户与转型后的企业之间可</w:t>
            </w:r>
          </w:p>
          <w:p>
            <w:pPr>
              <w:pStyle w:val="TableText"/>
              <w:ind w:left="122" w:right="137" w:firstLine="20"/>
              <w:spacing w:before="67" w:line="25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依法划转土地、房屋，投资主体、经营场所、经营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范围不变的，持《个体工商户转型升级为企业证</w:t>
            </w:r>
          </w:p>
          <w:p>
            <w:pPr>
              <w:pStyle w:val="TableText"/>
              <w:ind w:left="112" w:right="121" w:firstLine="90"/>
              <w:spacing w:before="73" w:line="2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明》,规划和自然资源部门按照国家和省、市有关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规定对小微企业免收不动产登记费；对个体工商户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房屋、土地权属转回原经营者个人名下，原</w:t>
            </w:r>
            <w:r>
              <w:rPr>
                <w:sz w:val="22"/>
                <w:szCs w:val="22"/>
              </w:rPr>
              <w:t>经营者 </w:t>
            </w:r>
            <w:r>
              <w:rPr>
                <w:sz w:val="22"/>
                <w:szCs w:val="22"/>
                <w:spacing w:val="-1"/>
              </w:rPr>
              <w:t>个人将房屋土地权属划转至其设立的个人独资企</w:t>
            </w:r>
          </w:p>
          <w:p>
            <w:pPr>
              <w:pStyle w:val="TableText"/>
              <w:ind w:left="142" w:right="92"/>
              <w:spacing w:before="87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2"/>
              </w:rPr>
              <w:t>业、</w:t>
            </w:r>
            <w:r>
              <w:rPr>
                <w:sz w:val="22"/>
                <w:szCs w:val="22"/>
                <w:spacing w:val="-20"/>
              </w:rPr>
              <w:t xml:space="preserve"> </w:t>
            </w:r>
            <w:r>
              <w:rPr>
                <w:sz w:val="22"/>
                <w:szCs w:val="22"/>
                <w:spacing w:val="-12"/>
              </w:rPr>
              <w:t>一人有限公司名下，个人独资企业、</w:t>
            </w:r>
            <w:r>
              <w:rPr>
                <w:sz w:val="22"/>
                <w:szCs w:val="22"/>
                <w:spacing w:val="44"/>
              </w:rPr>
              <w:t xml:space="preserve"> </w:t>
            </w:r>
            <w:r>
              <w:rPr>
                <w:sz w:val="22"/>
                <w:szCs w:val="22"/>
                <w:spacing w:val="-12"/>
              </w:rPr>
              <w:t>一人有限 </w:t>
            </w:r>
            <w:r>
              <w:rPr>
                <w:sz w:val="22"/>
                <w:szCs w:val="22"/>
              </w:rPr>
              <w:t>公司改制为有限责任公司、股份有限公司等环节涉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及的契税，符合条件的，税务部门依法免征契税。</w:t>
            </w:r>
          </w:p>
        </w:tc>
        <w:tc>
          <w:tcPr>
            <w:tcW w:w="1573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 w:right="106" w:firstLine="110"/>
              <w:spacing w:before="71" w:line="325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市规划和自 </w:t>
            </w:r>
            <w:r>
              <w:rPr>
                <w:sz w:val="22"/>
                <w:szCs w:val="22"/>
                <w:spacing w:val="2"/>
              </w:rPr>
              <w:t>然资源局、市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税务局，各区</w:t>
            </w:r>
          </w:p>
          <w:p>
            <w:pPr>
              <w:pStyle w:val="TableText"/>
              <w:ind w:left="208"/>
              <w:spacing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8"/>
              </w:rPr>
              <w:t>(</w:t>
            </w:r>
            <w:r>
              <w:rPr>
                <w:sz w:val="22"/>
                <w:szCs w:val="22"/>
                <w:spacing w:val="-30"/>
              </w:rPr>
              <w:t xml:space="preserve"> </w:t>
            </w:r>
            <w:r>
              <w:rPr>
                <w:sz w:val="22"/>
                <w:szCs w:val="22"/>
                <w:spacing w:val="-18"/>
              </w:rPr>
              <w:t>市</w:t>
            </w:r>
            <w:r>
              <w:rPr>
                <w:sz w:val="22"/>
                <w:szCs w:val="22"/>
                <w:spacing w:val="-35"/>
              </w:rPr>
              <w:t xml:space="preserve"> </w:t>
            </w:r>
            <w:r>
              <w:rPr>
                <w:sz w:val="22"/>
                <w:szCs w:val="22"/>
                <w:spacing w:val="-18"/>
              </w:rPr>
              <w:t>)</w:t>
            </w:r>
            <w:r>
              <w:rPr>
                <w:sz w:val="22"/>
                <w:szCs w:val="22"/>
                <w:spacing w:val="-35"/>
              </w:rPr>
              <w:t xml:space="preserve"> </w:t>
            </w:r>
            <w:r>
              <w:rPr>
                <w:sz w:val="22"/>
                <w:szCs w:val="22"/>
                <w:spacing w:val="-18"/>
              </w:rPr>
              <w:t>县</w:t>
            </w:r>
          </w:p>
        </w:tc>
      </w:tr>
      <w:tr>
        <w:trPr>
          <w:trHeight w:val="3117" w:hRule="atLeast"/>
        </w:trPr>
        <w:tc>
          <w:tcPr>
            <w:tcW w:w="180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5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减轻税费负担</w:t>
            </w:r>
          </w:p>
        </w:tc>
        <w:tc>
          <w:tcPr>
            <w:tcW w:w="5144" w:type="dxa"/>
            <w:vAlign w:val="top"/>
          </w:tcPr>
          <w:p>
            <w:pPr>
              <w:pStyle w:val="TableText"/>
              <w:ind w:left="142" w:firstLine="416"/>
              <w:spacing w:before="103"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“个转企”后，税务部门对其实行“一对一</w:t>
            </w:r>
            <w:r>
              <w:rPr>
                <w:sz w:val="22"/>
                <w:szCs w:val="22"/>
                <w:spacing w:val="-56"/>
              </w:rPr>
              <w:t xml:space="preserve"> </w:t>
            </w:r>
            <w:r>
              <w:rPr>
                <w:sz w:val="22"/>
                <w:szCs w:val="22"/>
                <w:spacing w:val="6"/>
              </w:rPr>
              <w:t>”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8"/>
              </w:rPr>
              <w:t>宣传指导，帮助其及时享受国家对中小微企业及特</w:t>
            </w:r>
          </w:p>
          <w:p>
            <w:pPr>
              <w:pStyle w:val="TableText"/>
              <w:ind w:left="32" w:firstLine="108"/>
              <w:spacing w:before="89" w:line="27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定行业、区域、环节的税收优惠政策。人社部门加</w:t>
            </w:r>
            <w:r>
              <w:rPr>
                <w:sz w:val="22"/>
                <w:szCs w:val="22"/>
                <w:spacing w:val="6"/>
              </w:rPr>
              <w:t xml:space="preserve">   </w:t>
            </w:r>
            <w:r>
              <w:rPr>
                <w:sz w:val="22"/>
                <w:szCs w:val="22"/>
                <w:spacing w:val="1"/>
              </w:rPr>
              <w:t>强对“个转企”企业在劳动用工、基本养老、失业、</w:t>
            </w:r>
            <w:r>
              <w:rPr>
                <w:sz w:val="22"/>
                <w:szCs w:val="22"/>
                <w:spacing w:val="17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工伤保险参保，职业技能培训等方面的服务和指</w:t>
            </w:r>
          </w:p>
          <w:p>
            <w:pPr>
              <w:pStyle w:val="TableText"/>
              <w:ind w:left="122" w:right="134" w:firstLine="20"/>
              <w:spacing w:before="68" w:line="26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导。落实好阶段性降低失业保险、工伤保险费率政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</w:rPr>
              <w:t>策、失业保险稳岗返还政策。医保部门加强对“个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转企”企业在基本医疗和生育保险等方面的服务和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</w:rPr>
              <w:t>指导。</w:t>
            </w:r>
          </w:p>
        </w:tc>
        <w:tc>
          <w:tcPr>
            <w:tcW w:w="157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 w:right="106"/>
              <w:spacing w:before="71" w:line="32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市税务局、市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人社局、市医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15"/>
              </w:rPr>
              <w:t>保局</w:t>
            </w:r>
            <w:r>
              <w:rPr>
                <w:sz w:val="22"/>
                <w:szCs w:val="22"/>
                <w:spacing w:val="-21"/>
              </w:rPr>
              <w:t xml:space="preserve"> </w:t>
            </w:r>
            <w:r>
              <w:rPr>
                <w:sz w:val="22"/>
                <w:szCs w:val="22"/>
                <w:spacing w:val="15"/>
              </w:rPr>
              <w:t>，</w:t>
            </w:r>
            <w:r>
              <w:rPr>
                <w:sz w:val="22"/>
                <w:szCs w:val="22"/>
                <w:spacing w:val="-37"/>
              </w:rPr>
              <w:t xml:space="preserve"> </w:t>
            </w:r>
            <w:r>
              <w:rPr>
                <w:sz w:val="22"/>
                <w:szCs w:val="22"/>
                <w:spacing w:val="15"/>
              </w:rPr>
              <w:t>各区</w:t>
            </w:r>
          </w:p>
          <w:p>
            <w:pPr>
              <w:pStyle w:val="TableText"/>
              <w:ind w:left="198"/>
              <w:spacing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8"/>
              </w:rPr>
              <w:t>(</w:t>
            </w:r>
            <w:r>
              <w:rPr>
                <w:sz w:val="22"/>
                <w:szCs w:val="22"/>
                <w:spacing w:val="-17"/>
              </w:rPr>
              <w:t xml:space="preserve"> </w:t>
            </w:r>
            <w:r>
              <w:rPr>
                <w:sz w:val="22"/>
                <w:szCs w:val="22"/>
                <w:spacing w:val="-18"/>
              </w:rPr>
              <w:t>市</w:t>
            </w:r>
            <w:r>
              <w:rPr>
                <w:sz w:val="22"/>
                <w:szCs w:val="22"/>
                <w:spacing w:val="-21"/>
              </w:rPr>
              <w:t xml:space="preserve"> </w:t>
            </w:r>
            <w:r>
              <w:rPr>
                <w:sz w:val="22"/>
                <w:szCs w:val="22"/>
                <w:spacing w:val="-18"/>
              </w:rPr>
              <w:t>)</w:t>
            </w:r>
            <w:r>
              <w:rPr>
                <w:sz w:val="22"/>
                <w:szCs w:val="22"/>
                <w:spacing w:val="-22"/>
              </w:rPr>
              <w:t xml:space="preserve"> </w:t>
            </w:r>
            <w:r>
              <w:rPr>
                <w:sz w:val="22"/>
                <w:szCs w:val="22"/>
                <w:spacing w:val="-18"/>
              </w:rPr>
              <w:t>县</w:t>
            </w:r>
          </w:p>
        </w:tc>
      </w:tr>
      <w:tr>
        <w:trPr>
          <w:trHeight w:val="1633" w:hRule="atLeast"/>
        </w:trPr>
        <w:tc>
          <w:tcPr>
            <w:tcW w:w="1803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5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支持招工就业</w:t>
            </w:r>
          </w:p>
        </w:tc>
        <w:tc>
          <w:tcPr>
            <w:tcW w:w="5144" w:type="dxa"/>
            <w:vAlign w:val="top"/>
          </w:tcPr>
          <w:p>
            <w:pPr>
              <w:pStyle w:val="TableText"/>
              <w:ind w:left="472"/>
              <w:spacing w:before="8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对转型后的中小微企业招用毕业年度内高校</w:t>
            </w:r>
          </w:p>
          <w:p>
            <w:pPr>
              <w:pStyle w:val="TableText"/>
              <w:ind w:left="142"/>
              <w:spacing w:before="6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毕业生，给予一次性吸纳就业补贴，政策实施期限</w:t>
            </w:r>
          </w:p>
          <w:p>
            <w:pPr>
              <w:pStyle w:val="TableText"/>
              <w:ind w:left="472"/>
              <w:spacing w:before="5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截至2023年12月31日。对转型企业招用脱贫</w:t>
            </w:r>
          </w:p>
          <w:p>
            <w:pPr>
              <w:pStyle w:val="TableText"/>
              <w:ind w:left="132" w:right="162" w:firstLine="10"/>
              <w:spacing w:before="68" w:line="23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人口、失业半年以上人员等重点群体，符合相关条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件的，依法落实好税收优惠政策。</w:t>
            </w:r>
          </w:p>
        </w:tc>
        <w:tc>
          <w:tcPr>
            <w:tcW w:w="157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8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1"/>
              </w:rPr>
              <w:t>市人社局、</w:t>
            </w:r>
          </w:p>
          <w:p>
            <w:pPr>
              <w:pStyle w:val="TableText"/>
              <w:ind w:left="337"/>
              <w:spacing w:before="6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市税务局</w:t>
            </w:r>
          </w:p>
        </w:tc>
      </w:tr>
    </w:tbl>
    <w:p>
      <w:pPr>
        <w:pStyle w:val="BodyText"/>
        <w:spacing w:line="176" w:lineRule="exact"/>
        <w:rPr>
          <w:sz w:val="15"/>
        </w:rPr>
      </w:pPr>
      <w:r/>
    </w:p>
    <w:p>
      <w:pPr>
        <w:spacing w:line="176" w:lineRule="exact"/>
        <w:sectPr>
          <w:footerReference w:type="default" r:id="rId34"/>
          <w:pgSz w:w="11910" w:h="16830"/>
          <w:pgMar w:top="1430" w:right="1594" w:bottom="1988" w:left="1784" w:header="0" w:footer="1679" w:gutter="0"/>
        </w:sectPr>
        <w:rPr>
          <w:sz w:val="15"/>
          <w:szCs w:val="15"/>
        </w:rPr>
      </w:pPr>
    </w:p>
    <w:p>
      <w:pPr>
        <w:spacing w:before="17"/>
        <w:rPr/>
      </w:pPr>
      <w:r/>
    </w:p>
    <w:p>
      <w:pPr>
        <w:spacing w:before="17"/>
        <w:rPr/>
      </w:pPr>
      <w:r/>
    </w:p>
    <w:p>
      <w:pPr>
        <w:spacing w:before="17"/>
        <w:rPr/>
      </w:pPr>
      <w:r/>
    </w:p>
    <w:p>
      <w:pPr>
        <w:spacing w:before="17"/>
        <w:rPr/>
      </w:pPr>
      <w:r/>
    </w:p>
    <w:tbl>
      <w:tblPr>
        <w:tblStyle w:val="TableNormal"/>
        <w:tblW w:w="851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03"/>
        <w:gridCol w:w="5144"/>
        <w:gridCol w:w="1563"/>
      </w:tblGrid>
      <w:tr>
        <w:trPr>
          <w:trHeight w:val="2283" w:hRule="atLeast"/>
        </w:trPr>
        <w:tc>
          <w:tcPr>
            <w:tcW w:w="180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5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加强金融扶持</w:t>
            </w:r>
          </w:p>
        </w:tc>
        <w:tc>
          <w:tcPr>
            <w:tcW w:w="5144" w:type="dxa"/>
            <w:vAlign w:val="top"/>
          </w:tcPr>
          <w:p>
            <w:pPr>
              <w:pStyle w:val="TableText"/>
              <w:ind w:left="142" w:right="91" w:firstLine="440"/>
              <w:spacing w:before="70" w:line="264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各金融机构根据登记机关出具的《个体工商户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转型升级为企业证明》,承认转型企业的历史延续</w:t>
            </w:r>
            <w:r>
              <w:rPr>
                <w:sz w:val="22"/>
                <w:szCs w:val="22"/>
                <w:spacing w:val="2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性。为转型企业变更银行结算账户提供便利，通过 </w:t>
            </w:r>
            <w:r>
              <w:rPr>
                <w:sz w:val="22"/>
                <w:szCs w:val="22"/>
                <w:spacing w:val="-1"/>
              </w:rPr>
              <w:t>合并计算个体工商户存续年限、设立绿色通道等方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</w:rPr>
              <w:t>式为“个转企”企业提供便捷、高效、精准的融资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服务。常态化开展融资对接活动，为转型企业的发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展营造良好的融资环境，持续提升金融服务质效。</w:t>
            </w:r>
          </w:p>
        </w:tc>
        <w:tc>
          <w:tcPr>
            <w:tcW w:w="1563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8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市金融监管</w:t>
            </w:r>
          </w:p>
          <w:p>
            <w:pPr>
              <w:pStyle w:val="TableText"/>
              <w:ind w:left="118"/>
              <w:spacing w:before="8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局、人行四川</w:t>
            </w:r>
          </w:p>
          <w:p>
            <w:pPr>
              <w:pStyle w:val="TableText"/>
              <w:ind w:left="228"/>
              <w:spacing w:before="4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省分行营管</w:t>
            </w:r>
          </w:p>
          <w:p>
            <w:pPr>
              <w:pStyle w:val="TableText"/>
              <w:ind w:left="668"/>
              <w:spacing w:before="6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部</w:t>
            </w:r>
          </w:p>
        </w:tc>
      </w:tr>
      <w:tr>
        <w:trPr>
          <w:trHeight w:val="4555" w:hRule="atLeast"/>
        </w:trPr>
        <w:tc>
          <w:tcPr>
            <w:tcW w:w="180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5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优化登记服务</w:t>
            </w:r>
          </w:p>
        </w:tc>
        <w:tc>
          <w:tcPr>
            <w:tcW w:w="5144" w:type="dxa"/>
            <w:vAlign w:val="top"/>
          </w:tcPr>
          <w:p>
            <w:pPr>
              <w:pStyle w:val="TableText"/>
              <w:ind w:left="142" w:right="159" w:firstLine="440"/>
              <w:spacing w:before="90" w:line="25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在法律法规允许的前提下，登记部门可最大限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度保留原个体工商户名称中的字号和行业特点，承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继其商号价值。登记部门按照变更登记程序办理</w:t>
            </w:r>
          </w:p>
          <w:p>
            <w:pPr>
              <w:pStyle w:val="TableText"/>
              <w:ind w:left="142" w:right="18" w:firstLine="10"/>
              <w:spacing w:before="61" w:line="25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“个转企”登记，保留原个体工商户成立时间，允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许其继续使用原个体工商户统一社会信用代码，对</w:t>
            </w:r>
            <w:r>
              <w:rPr>
                <w:sz w:val="22"/>
                <w:szCs w:val="22"/>
                <w:spacing w:val="5"/>
              </w:rPr>
              <w:t xml:space="preserve">  </w:t>
            </w:r>
            <w:r>
              <w:rPr>
                <w:sz w:val="22"/>
                <w:szCs w:val="22"/>
                <w:spacing w:val="1"/>
              </w:rPr>
              <w:t>不改变住所(经营场所)的，免予提交住所(经营</w:t>
            </w:r>
          </w:p>
          <w:p>
            <w:pPr>
              <w:pStyle w:val="TableText"/>
              <w:ind w:left="142" w:right="135" w:firstLine="60"/>
              <w:spacing w:before="48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场所)使用证明文件，对转型企业可适用“</w:t>
            </w:r>
            <w:r>
              <w:rPr>
                <w:sz w:val="22"/>
                <w:szCs w:val="22"/>
              </w:rPr>
              <w:t>一照多 </w:t>
            </w:r>
            <w:r>
              <w:rPr>
                <w:sz w:val="22"/>
                <w:szCs w:val="22"/>
              </w:rPr>
              <w:t>址”等优惠政策。转型企业通过国家企业信用信息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</w:rPr>
              <w:t>公示系统“经营期限起始时间”或登记机关出具的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《个体工商户转型升级为企业证明》,证明其历史</w:t>
            </w:r>
          </w:p>
          <w:p>
            <w:pPr>
              <w:pStyle w:val="TableText"/>
              <w:ind w:left="122" w:firstLine="19"/>
              <w:spacing w:before="97" w:line="24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延续性。推动实施“个转企”  “一件事一次办”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实现营业执照、印章刻制、发票申领、社保登记、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3"/>
              </w:rPr>
              <w:t>银行开户、公积金缴存等事项一次办理。探索“个</w:t>
            </w:r>
            <w:r>
              <w:rPr>
                <w:sz w:val="22"/>
                <w:szCs w:val="22"/>
                <w:spacing w:val="4"/>
              </w:rPr>
              <w:t xml:space="preserve">   </w:t>
            </w:r>
            <w:r>
              <w:rPr>
                <w:sz w:val="22"/>
                <w:szCs w:val="22"/>
                <w:spacing w:val="-3"/>
              </w:rPr>
              <w:t>转企”网上办理新路径，提升企业获得感。</w:t>
            </w:r>
          </w:p>
        </w:tc>
        <w:tc>
          <w:tcPr>
            <w:tcW w:w="156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 w:right="96" w:firstLine="110"/>
              <w:spacing w:before="72" w:line="25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市市场监管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局、市网络理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7"/>
              </w:rPr>
              <w:t>政</w:t>
            </w:r>
            <w:r>
              <w:rPr>
                <w:sz w:val="22"/>
                <w:szCs w:val="22"/>
                <w:spacing w:val="-33"/>
              </w:rPr>
              <w:t xml:space="preserve"> </w:t>
            </w:r>
            <w:r>
              <w:rPr>
                <w:sz w:val="22"/>
                <w:szCs w:val="22"/>
                <w:spacing w:val="-17"/>
              </w:rPr>
              <w:t>办</w:t>
            </w:r>
            <w:r>
              <w:rPr>
                <w:sz w:val="22"/>
                <w:szCs w:val="22"/>
                <w:spacing w:val="-24"/>
              </w:rPr>
              <w:t xml:space="preserve"> </w:t>
            </w:r>
            <w:r>
              <w:rPr>
                <w:sz w:val="22"/>
                <w:szCs w:val="22"/>
                <w:spacing w:val="-17"/>
              </w:rPr>
              <w:t>、</w:t>
            </w:r>
            <w:r>
              <w:rPr>
                <w:sz w:val="22"/>
                <w:szCs w:val="22"/>
                <w:spacing w:val="-37"/>
              </w:rPr>
              <w:t xml:space="preserve"> </w:t>
            </w:r>
            <w:r>
              <w:rPr>
                <w:sz w:val="22"/>
                <w:szCs w:val="22"/>
                <w:spacing w:val="-17"/>
              </w:rPr>
              <w:t>各</w:t>
            </w:r>
            <w:r>
              <w:rPr>
                <w:sz w:val="22"/>
                <w:szCs w:val="22"/>
                <w:spacing w:val="-24"/>
              </w:rPr>
              <w:t xml:space="preserve"> </w:t>
            </w:r>
            <w:r>
              <w:rPr>
                <w:sz w:val="22"/>
                <w:szCs w:val="22"/>
                <w:spacing w:val="-17"/>
              </w:rPr>
              <w:t>区</w:t>
            </w:r>
          </w:p>
          <w:p>
            <w:pPr>
              <w:pStyle w:val="TableText"/>
              <w:ind w:left="128" w:right="215" w:firstLine="100"/>
              <w:spacing w:before="69"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(市)县行政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  <w:spacing w:val="6"/>
              </w:rPr>
              <w:t>审批部门</w:t>
            </w:r>
          </w:p>
        </w:tc>
      </w:tr>
      <w:tr>
        <w:trPr>
          <w:trHeight w:val="2612" w:hRule="atLeast"/>
        </w:trPr>
        <w:tc>
          <w:tcPr>
            <w:tcW w:w="1803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5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简化审批流程</w:t>
            </w:r>
          </w:p>
        </w:tc>
        <w:tc>
          <w:tcPr>
            <w:tcW w:w="5144" w:type="dxa"/>
            <w:vAlign w:val="top"/>
          </w:tcPr>
          <w:p>
            <w:pPr>
              <w:pStyle w:val="TableText"/>
              <w:ind w:left="92" w:firstLine="500"/>
              <w:spacing w:before="94" w:line="26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审批部门对涉及许可办理的，实行后台流转，</w:t>
            </w:r>
            <w:r>
              <w:rPr>
                <w:sz w:val="22"/>
                <w:szCs w:val="22"/>
                <w:spacing w:val="9"/>
              </w:rPr>
              <w:t xml:space="preserve">  </w:t>
            </w:r>
            <w:r>
              <w:rPr>
                <w:sz w:val="22"/>
                <w:szCs w:val="22"/>
                <w:spacing w:val="2"/>
              </w:rPr>
              <w:t>并联审批。“个转企”后需要办理食品经营许可证</w:t>
            </w:r>
            <w:r>
              <w:rPr>
                <w:sz w:val="22"/>
                <w:szCs w:val="22"/>
                <w:spacing w:val="6"/>
              </w:rPr>
              <w:t xml:space="preserve">  </w:t>
            </w:r>
            <w:r>
              <w:rPr>
                <w:sz w:val="22"/>
                <w:szCs w:val="22"/>
                <w:spacing w:val="2"/>
              </w:rPr>
              <w:t>的，要按照四川省市场监督管理局办公室《关于做</w:t>
            </w:r>
            <w:r>
              <w:rPr>
                <w:sz w:val="22"/>
                <w:szCs w:val="22"/>
                <w:spacing w:val="7"/>
              </w:rPr>
              <w:t xml:space="preserve">  </w:t>
            </w:r>
            <w:r>
              <w:rPr>
                <w:sz w:val="22"/>
                <w:szCs w:val="22"/>
                <w:spacing w:val="-1"/>
              </w:rPr>
              <w:t>好“个转企”后变更食品经营许可相关工作的通知》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要求，简化工作流程，及时受理、审批，办理变更</w:t>
            </w:r>
            <w:r>
              <w:rPr>
                <w:sz w:val="22"/>
                <w:szCs w:val="22"/>
                <w:spacing w:val="8"/>
              </w:rPr>
              <w:t xml:space="preserve">  </w:t>
            </w:r>
            <w:r>
              <w:rPr>
                <w:sz w:val="22"/>
                <w:szCs w:val="22"/>
                <w:spacing w:val="1"/>
              </w:rPr>
              <w:t>手续。鼓励行政审批部门探索开展“个转企”许可</w:t>
            </w:r>
            <w:r>
              <w:rPr>
                <w:sz w:val="22"/>
                <w:szCs w:val="22"/>
                <w:spacing w:val="8"/>
              </w:rPr>
              <w:t xml:space="preserve">  </w:t>
            </w:r>
            <w:r>
              <w:rPr>
                <w:sz w:val="22"/>
                <w:szCs w:val="22"/>
                <w:spacing w:val="2"/>
              </w:rPr>
              <w:t>资质保全，允许原个体工商户持有的许可资质在有</w:t>
            </w:r>
            <w:r>
              <w:rPr>
                <w:sz w:val="22"/>
                <w:szCs w:val="22"/>
                <w:spacing w:val="7"/>
              </w:rPr>
              <w:t xml:space="preserve">  </w:t>
            </w:r>
            <w:r>
              <w:rPr>
                <w:sz w:val="22"/>
                <w:szCs w:val="22"/>
                <w:spacing w:val="1"/>
              </w:rPr>
              <w:t>效期内可继续保全使用。</w:t>
            </w:r>
          </w:p>
        </w:tc>
        <w:tc>
          <w:tcPr>
            <w:tcW w:w="156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9"/>
              </w:rPr>
              <w:t>市市场监管</w:t>
            </w:r>
          </w:p>
          <w:p>
            <w:pPr>
              <w:pStyle w:val="TableText"/>
              <w:ind w:left="118"/>
              <w:spacing w:before="6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局、市网络理</w:t>
            </w:r>
          </w:p>
          <w:p>
            <w:pPr>
              <w:pStyle w:val="TableText"/>
              <w:ind w:left="118"/>
              <w:spacing w:before="6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政办、各行业</w:t>
            </w:r>
          </w:p>
          <w:p>
            <w:pPr>
              <w:pStyle w:val="TableText"/>
              <w:ind w:left="118"/>
              <w:spacing w:before="4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主管部门、各</w:t>
            </w:r>
          </w:p>
          <w:p>
            <w:pPr>
              <w:pStyle w:val="TableText"/>
              <w:ind w:left="118"/>
              <w:spacing w:before="7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7"/>
              </w:rPr>
              <w:t>区 (</w:t>
            </w:r>
            <w:r>
              <w:rPr>
                <w:sz w:val="22"/>
                <w:szCs w:val="22"/>
                <w:spacing w:val="-44"/>
              </w:rPr>
              <w:t xml:space="preserve"> </w:t>
            </w:r>
            <w:r>
              <w:rPr>
                <w:sz w:val="22"/>
                <w:szCs w:val="22"/>
                <w:spacing w:val="-17"/>
              </w:rPr>
              <w:t>市</w:t>
            </w:r>
            <w:r>
              <w:rPr>
                <w:sz w:val="22"/>
                <w:szCs w:val="22"/>
                <w:spacing w:val="-49"/>
              </w:rPr>
              <w:t xml:space="preserve"> </w:t>
            </w:r>
            <w:r>
              <w:rPr>
                <w:sz w:val="22"/>
                <w:szCs w:val="22"/>
                <w:spacing w:val="-17"/>
              </w:rPr>
              <w:t>)</w:t>
            </w:r>
            <w:r>
              <w:rPr>
                <w:sz w:val="22"/>
                <w:szCs w:val="22"/>
                <w:spacing w:val="-49"/>
              </w:rPr>
              <w:t xml:space="preserve"> </w:t>
            </w:r>
            <w:r>
              <w:rPr>
                <w:sz w:val="22"/>
                <w:szCs w:val="22"/>
                <w:spacing w:val="-17"/>
              </w:rPr>
              <w:t>县</w:t>
            </w:r>
            <w:r>
              <w:rPr>
                <w:sz w:val="22"/>
                <w:szCs w:val="22"/>
                <w:spacing w:val="-47"/>
              </w:rPr>
              <w:t xml:space="preserve"> </w:t>
            </w:r>
            <w:r>
              <w:rPr>
                <w:sz w:val="22"/>
                <w:szCs w:val="22"/>
                <w:spacing w:val="-17"/>
              </w:rPr>
              <w:t>行</w:t>
            </w:r>
          </w:p>
          <w:p>
            <w:pPr>
              <w:pStyle w:val="TableText"/>
              <w:ind w:left="228"/>
              <w:spacing w:before="7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政审批部门</w:t>
            </w:r>
          </w:p>
        </w:tc>
      </w:tr>
    </w:tbl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85"/>
        <w:spacing w:before="107" w:line="183" w:lineRule="auto"/>
        <w:rPr>
          <w:rFonts w:ascii="SimSun" w:hAnsi="SimSun" w:eastAsia="SimSun" w:cs="SimSun"/>
          <w:sz w:val="33"/>
          <w:szCs w:val="33"/>
        </w:rPr>
      </w:pPr>
      <w:r>
        <w:rPr>
          <w:rFonts w:ascii="SimSun" w:hAnsi="SimSun" w:eastAsia="SimSun" w:cs="SimSun"/>
          <w:sz w:val="33"/>
          <w:szCs w:val="33"/>
          <w:spacing w:val="-3"/>
        </w:rPr>
        <w:t>—20—</w:t>
      </w:r>
    </w:p>
    <w:p>
      <w:pPr>
        <w:spacing w:line="183" w:lineRule="auto"/>
        <w:sectPr>
          <w:footerReference w:type="default" r:id="rId15"/>
          <w:pgSz w:w="11910" w:h="16830"/>
          <w:pgMar w:top="1430" w:right="1625" w:bottom="400" w:left="1764" w:header="0" w:footer="0" w:gutter="0"/>
        </w:sectPr>
        <w:rPr>
          <w:rFonts w:ascii="SimSun" w:hAnsi="SimSun" w:eastAsia="SimSun" w:cs="SimSun"/>
          <w:sz w:val="33"/>
          <w:szCs w:val="33"/>
        </w:rPr>
      </w:pPr>
    </w:p>
    <w:p>
      <w:pPr>
        <w:pStyle w:val="BodyText"/>
        <w:rPr/>
      </w:pPr>
      <w:r/>
    </w:p>
    <w:p>
      <w:pPr>
        <w:sectPr>
          <w:headerReference w:type="default" r:id="rId35"/>
          <w:pgSz w:w="11910" w:h="16830"/>
          <w:pgMar w:top="0" w:right="0" w:bottom="0" w:left="0" w:header="0" w:footer="0" w:gutter="0"/>
        </w:sectPr>
        <w:rPr/>
      </w:pP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34"/>
        <w:spacing w:before="101" w:line="222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10"/>
        </w:rPr>
        <w:t>信息公开属性：主动公开</w:t>
      </w:r>
    </w:p>
    <w:p>
      <w:pPr>
        <w:spacing w:line="20" w:lineRule="exact"/>
        <w:rPr/>
      </w:pPr>
      <w:r/>
    </w:p>
    <w:tbl>
      <w:tblPr>
        <w:tblStyle w:val="TableNormal"/>
        <w:tblW w:w="857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734"/>
        <w:gridCol w:w="3845"/>
      </w:tblGrid>
      <w:tr>
        <w:trPr>
          <w:trHeight w:val="523" w:hRule="atLeast"/>
        </w:trPr>
        <w:tc>
          <w:tcPr>
            <w:tcW w:w="8579" w:type="dxa"/>
            <w:vAlign w:val="top"/>
            <w:gridSpan w:val="2"/>
            <w:tcBorders>
              <w:bottom w:val="single" w:color="000000" w:sz="2" w:space="0"/>
              <w:top w:val="single" w:color="000000" w:sz="8" w:space="0"/>
            </w:tcBorders>
          </w:tcPr>
          <w:p>
            <w:pPr>
              <w:ind w:left="409"/>
              <w:spacing w:before="205" w:line="220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30"/>
              </w:rPr>
              <w:t>抄送：市发改委(市粮食和储备局),市财政局。</w:t>
            </w:r>
          </w:p>
        </w:tc>
      </w:tr>
      <w:tr>
        <w:trPr>
          <w:trHeight w:val="547" w:hRule="atLeast"/>
        </w:trPr>
        <w:tc>
          <w:tcPr>
            <w:tcW w:w="473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409"/>
              <w:spacing w:before="218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14"/>
              </w:rPr>
              <w:t>成都市市场监督管理局办公室</w:t>
            </w:r>
          </w:p>
        </w:tc>
        <w:tc>
          <w:tcPr>
            <w:tcW w:w="384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86"/>
              <w:spacing w:before="218" w:line="222" w:lineRule="auto"/>
              <w:rPr>
                <w:rFonts w:ascii="FangSong" w:hAnsi="FangSong" w:eastAsia="FangSong" w:cs="FangSong"/>
                <w:sz w:val="25"/>
                <w:szCs w:val="25"/>
              </w:rPr>
            </w:pPr>
            <w:r>
              <w:rPr>
                <w:rFonts w:ascii="FangSong" w:hAnsi="FangSong" w:eastAsia="FangSong" w:cs="FangSong"/>
                <w:sz w:val="25"/>
                <w:szCs w:val="25"/>
                <w:spacing w:val="4"/>
              </w:rPr>
              <w:t>2023年11</w:t>
            </w:r>
            <w:r>
              <w:rPr>
                <w:rFonts w:ascii="FangSong" w:hAnsi="FangSong" w:eastAsia="FangSong" w:cs="FangSong"/>
                <w:sz w:val="25"/>
                <w:szCs w:val="25"/>
                <w:spacing w:val="-47"/>
              </w:rPr>
              <w:t xml:space="preserve"> </w:t>
            </w:r>
            <w:r>
              <w:rPr>
                <w:rFonts w:ascii="FangSong" w:hAnsi="FangSong" w:eastAsia="FangSong" w:cs="FangSong"/>
                <w:sz w:val="25"/>
                <w:szCs w:val="25"/>
                <w:spacing w:val="4"/>
              </w:rPr>
              <w:t>月</w:t>
            </w:r>
            <w:r>
              <w:rPr>
                <w:rFonts w:ascii="FangSong" w:hAnsi="FangSong" w:eastAsia="FangSong" w:cs="FangSong"/>
                <w:sz w:val="25"/>
                <w:szCs w:val="25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5"/>
                <w:szCs w:val="25"/>
                <w:spacing w:val="4"/>
              </w:rPr>
              <w:t>9</w:t>
            </w:r>
            <w:r>
              <w:rPr>
                <w:rFonts w:ascii="FangSong" w:hAnsi="FangSong" w:eastAsia="FangSong" w:cs="FangSong"/>
                <w:sz w:val="25"/>
                <w:szCs w:val="25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5"/>
                <w:szCs w:val="25"/>
                <w:spacing w:val="4"/>
              </w:rPr>
              <w:t>日</w:t>
            </w:r>
            <w:r>
              <w:rPr>
                <w:rFonts w:ascii="FangSong" w:hAnsi="FangSong" w:eastAsia="FangSong" w:cs="FangSong"/>
                <w:sz w:val="25"/>
                <w:szCs w:val="25"/>
                <w:spacing w:val="-28"/>
              </w:rPr>
              <w:t xml:space="preserve"> </w:t>
            </w:r>
            <w:r>
              <w:rPr>
                <w:rFonts w:ascii="FangSong" w:hAnsi="FangSong" w:eastAsia="FangSong" w:cs="FangSong"/>
                <w:sz w:val="25"/>
                <w:szCs w:val="25"/>
                <w:spacing w:val="4"/>
              </w:rPr>
              <w:t>印</w:t>
            </w:r>
            <w:r>
              <w:rPr>
                <w:rFonts w:ascii="FangSong" w:hAnsi="FangSong" w:eastAsia="FangSong" w:cs="FangSong"/>
                <w:sz w:val="25"/>
                <w:szCs w:val="25"/>
                <w:spacing w:val="-41"/>
              </w:rPr>
              <w:t xml:space="preserve"> </w:t>
            </w:r>
            <w:r>
              <w:rPr>
                <w:rFonts w:ascii="FangSong" w:hAnsi="FangSong" w:eastAsia="FangSong" w:cs="FangSong"/>
                <w:sz w:val="25"/>
                <w:szCs w:val="25"/>
                <w:spacing w:val="4"/>
              </w:rPr>
              <w:t>发</w:t>
            </w:r>
          </w:p>
        </w:tc>
      </w:tr>
    </w:tbl>
    <w:p>
      <w:pPr>
        <w:pStyle w:val="BodyText"/>
        <w:rPr/>
      </w:pPr>
      <w:r/>
    </w:p>
    <w:sectPr>
      <w:pgSz w:w="11910" w:h="16830"/>
      <w:pgMar w:top="400" w:right="1609" w:bottom="400" w:left="172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79"/>
      <w:spacing w:line="177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4"/>
      </w:rPr>
      <w:t>—1—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"/>
      <w:spacing w:before="1" w:line="177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11"/>
      </w:rPr>
      <w:t>—</w:t>
    </w:r>
    <w:r>
      <w:rPr>
        <w:rFonts w:ascii="SimSun" w:hAnsi="SimSun" w:eastAsia="SimSun" w:cs="SimSun"/>
        <w:sz w:val="30"/>
        <w:szCs w:val="30"/>
        <w:spacing w:val="-117"/>
      </w:rPr>
      <w:t xml:space="preserve"> </w:t>
    </w:r>
    <w:r>
      <w:rPr>
        <w:rFonts w:ascii="SimSun" w:hAnsi="SimSun" w:eastAsia="SimSun" w:cs="SimSun"/>
        <w:sz w:val="30"/>
        <w:szCs w:val="30"/>
        <w:spacing w:val="-11"/>
      </w:rPr>
      <w:t>10</w:t>
    </w:r>
    <w:r>
      <w:rPr>
        <w:rFonts w:ascii="SimSun" w:hAnsi="SimSun" w:eastAsia="SimSun" w:cs="SimSun"/>
        <w:sz w:val="30"/>
        <w:szCs w:val="30"/>
        <w:spacing w:val="59"/>
      </w:rPr>
      <w:t xml:space="preserve"> </w:t>
    </w:r>
    <w:r>
      <w:rPr>
        <w:rFonts w:ascii="SimSun" w:hAnsi="SimSun" w:eastAsia="SimSun" w:cs="SimSun"/>
        <w:sz w:val="30"/>
        <w:szCs w:val="30"/>
        <w:spacing w:val="-11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253"/>
      <w:spacing w:line="177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3"/>
      </w:rPr>
      <w:t>—11</w:t>
    </w:r>
    <w:r>
      <w:rPr>
        <w:rFonts w:ascii="SimSun" w:hAnsi="SimSun" w:eastAsia="SimSun" w:cs="SimSun"/>
        <w:sz w:val="30"/>
        <w:szCs w:val="30"/>
        <w:spacing w:val="81"/>
      </w:rPr>
      <w:t xml:space="preserve"> </w:t>
    </w:r>
    <w:r>
      <w:rPr>
        <w:rFonts w:ascii="SimSun" w:hAnsi="SimSun" w:eastAsia="SimSun" w:cs="SimSun"/>
        <w:sz w:val="30"/>
        <w:szCs w:val="30"/>
        <w:spacing w:val="-3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"/>
      <w:spacing w:before="1" w:line="174" w:lineRule="auto"/>
      <w:rPr>
        <w:rFonts w:ascii="FangSong" w:hAnsi="FangSong" w:eastAsia="FangSong" w:cs="FangSong"/>
        <w:sz w:val="30"/>
        <w:szCs w:val="30"/>
      </w:rPr>
    </w:pPr>
    <w:r>
      <w:rPr>
        <w:rFonts w:ascii="FangSong" w:hAnsi="FangSong" w:eastAsia="FangSong" w:cs="FangSong"/>
        <w:sz w:val="30"/>
        <w:szCs w:val="30"/>
        <w:spacing w:val="-2"/>
      </w:rPr>
      <w:t>—12</w:t>
    </w:r>
    <w:r>
      <w:rPr>
        <w:rFonts w:ascii="FangSong" w:hAnsi="FangSong" w:eastAsia="FangSong" w:cs="FangSong"/>
        <w:sz w:val="30"/>
        <w:szCs w:val="30"/>
        <w:spacing w:val="-2"/>
      </w:rPr>
      <w:t xml:space="preserve">  </w:t>
    </w:r>
    <w:r>
      <w:rPr>
        <w:rFonts w:ascii="FangSong" w:hAnsi="FangSong" w:eastAsia="FangSong" w:cs="FangSong"/>
        <w:sz w:val="30"/>
        <w:szCs w:val="30"/>
        <w:spacing w:val="-2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263"/>
      <w:spacing w:before="1" w:line="177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3"/>
      </w:rPr>
      <w:t>—13</w:t>
    </w:r>
    <w:r>
      <w:rPr>
        <w:rFonts w:ascii="SimSun" w:hAnsi="SimSun" w:eastAsia="SimSun" w:cs="SimSun"/>
        <w:sz w:val="30"/>
        <w:szCs w:val="30"/>
        <w:spacing w:val="100"/>
      </w:rPr>
      <w:t xml:space="preserve"> </w:t>
    </w:r>
    <w:r>
      <w:rPr>
        <w:rFonts w:ascii="SimSun" w:hAnsi="SimSun" w:eastAsia="SimSun" w:cs="SimSun"/>
        <w:sz w:val="30"/>
        <w:szCs w:val="30"/>
        <w:spacing w:val="-3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3"/>
      <w:spacing w:line="177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3"/>
      </w:rPr>
      <w:t>—14</w:t>
    </w:r>
    <w:r>
      <w:rPr>
        <w:rFonts w:ascii="SimSun" w:hAnsi="SimSun" w:eastAsia="SimSun" w:cs="SimSun"/>
        <w:sz w:val="30"/>
        <w:szCs w:val="30"/>
        <w:spacing w:val="81"/>
      </w:rPr>
      <w:t xml:space="preserve"> </w:t>
    </w:r>
    <w:r>
      <w:rPr>
        <w:rFonts w:ascii="SimSun" w:hAnsi="SimSun" w:eastAsia="SimSun" w:cs="SimSun"/>
        <w:sz w:val="30"/>
        <w:szCs w:val="30"/>
        <w:spacing w:val="-3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74"/>
      <w:spacing w:line="177" w:lineRule="auto"/>
      <w:rPr>
        <w:rFonts w:ascii="SimSun" w:hAnsi="SimSun" w:eastAsia="SimSun" w:cs="SimSun"/>
        <w:sz w:val="29"/>
        <w:szCs w:val="29"/>
      </w:rPr>
    </w:pPr>
    <w:r>
      <w:rPr>
        <w:rFonts w:ascii="SimSun" w:hAnsi="SimSun" w:eastAsia="SimSun" w:cs="SimSun"/>
        <w:sz w:val="29"/>
        <w:szCs w:val="29"/>
        <w:spacing w:val="-3"/>
      </w:rPr>
      <w:t>—16—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15"/>
      <w:spacing w:before="1" w:line="177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3"/>
      </w:rPr>
      <w:t>—19</w:t>
    </w:r>
    <w:r>
      <w:rPr>
        <w:rFonts w:ascii="SimSun" w:hAnsi="SimSun" w:eastAsia="SimSun" w:cs="SimSun"/>
        <w:sz w:val="31"/>
        <w:szCs w:val="31"/>
        <w:spacing w:val="35"/>
      </w:rPr>
      <w:t xml:space="preserve"> </w:t>
    </w:r>
    <w:r>
      <w:rPr>
        <w:rFonts w:ascii="SimSun" w:hAnsi="SimSun" w:eastAsia="SimSun" w:cs="SimSun"/>
        <w:sz w:val="31"/>
        <w:szCs w:val="31"/>
        <w:spacing w:val="-3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55"/>
      <w:spacing w:before="1" w:line="176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</w:rPr>
      <w:t>2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3"/>
      <w:spacing w:before="1" w:line="173" w:lineRule="auto"/>
      <w:rPr>
        <w:rFonts w:ascii="FangSong" w:hAnsi="FangSong" w:eastAsia="FangSong" w:cs="FangSong"/>
        <w:sz w:val="29"/>
        <w:szCs w:val="29"/>
      </w:rPr>
    </w:pPr>
    <w:r>
      <w:rPr>
        <w:rFonts w:ascii="FangSong" w:hAnsi="FangSong" w:eastAsia="FangSong" w:cs="FangSong"/>
        <w:sz w:val="29"/>
        <w:szCs w:val="29"/>
        <w:spacing w:val="-3"/>
      </w:rPr>
      <w:t>—4</w:t>
    </w:r>
    <w:r>
      <w:rPr>
        <w:rFonts w:ascii="FangSong" w:hAnsi="FangSong" w:eastAsia="FangSong" w:cs="FangSong"/>
        <w:sz w:val="29"/>
        <w:szCs w:val="29"/>
        <w:spacing w:val="118"/>
      </w:rPr>
      <w:t xml:space="preserve"> </w:t>
    </w:r>
    <w:r>
      <w:rPr>
        <w:rFonts w:ascii="FangSong" w:hAnsi="FangSong" w:eastAsia="FangSong" w:cs="FangSong"/>
        <w:sz w:val="29"/>
        <w:szCs w:val="29"/>
        <w:spacing w:val="-3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263"/>
      <w:spacing w:line="175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4"/>
      </w:rPr>
      <w:t>—5—</w:t>
    </w:r>
    <w:r>
      <w:rPr>
        <w:rFonts w:ascii="SimSun" w:hAnsi="SimSun" w:eastAsia="SimSun" w:cs="SimSun"/>
        <w:sz w:val="30"/>
        <w:szCs w:val="30"/>
      </w:rPr>
      <w:t xml:space="preserve">  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3"/>
      <w:spacing w:before="1" w:line="176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4"/>
      </w:rPr>
      <w:t>—6—</w:t>
    </w:r>
    <w:r>
      <w:rPr>
        <w:rFonts w:ascii="SimSun" w:hAnsi="SimSun" w:eastAsia="SimSun" w:cs="SimSun"/>
        <w:sz w:val="30"/>
        <w:szCs w:val="30"/>
      </w:rPr>
      <w:t xml:space="preserve">  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263"/>
      <w:spacing w:line="175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4"/>
      </w:rPr>
      <w:t>—7</w:t>
    </w:r>
    <w:r>
      <w:rPr>
        <w:rFonts w:ascii="SimSun" w:hAnsi="SimSun" w:eastAsia="SimSun" w:cs="SimSun"/>
        <w:sz w:val="30"/>
        <w:szCs w:val="30"/>
        <w:spacing w:val="130"/>
      </w:rPr>
      <w:t xml:space="preserve"> </w:t>
    </w:r>
    <w:r>
      <w:rPr>
        <w:rFonts w:ascii="SimSun" w:hAnsi="SimSun" w:eastAsia="SimSun" w:cs="SimSun"/>
        <w:sz w:val="30"/>
        <w:szCs w:val="30"/>
        <w:spacing w:val="-4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"/>
      <w:spacing w:before="1" w:line="176" w:lineRule="auto"/>
      <w:rPr>
        <w:rFonts w:ascii="SimSun" w:hAnsi="SimSun" w:eastAsia="SimSun" w:cs="SimSun"/>
        <w:sz w:val="29"/>
        <w:szCs w:val="29"/>
      </w:rPr>
    </w:pPr>
    <w:r>
      <w:rPr>
        <w:rFonts w:ascii="SimSun" w:hAnsi="SimSun" w:eastAsia="SimSun" w:cs="SimSun"/>
        <w:sz w:val="29"/>
        <w:szCs w:val="29"/>
        <w:spacing w:val="-3"/>
      </w:rPr>
      <w:t>—8</w:t>
    </w:r>
    <w:r>
      <w:rPr>
        <w:rFonts w:ascii="SimSun" w:hAnsi="SimSun" w:eastAsia="SimSun" w:cs="SimSun"/>
        <w:sz w:val="29"/>
        <w:szCs w:val="29"/>
        <w:strike/>
        <w:spacing w:val="-3"/>
      </w:rPr>
      <w:t>—</w:t>
    </w:r>
    <w:r>
      <w:rPr>
        <w:rFonts w:ascii="SimSun" w:hAnsi="SimSun" w:eastAsia="SimSun" w:cs="SimSun"/>
        <w:sz w:val="29"/>
        <w:szCs w:val="29"/>
        <w:strike/>
      </w:rPr>
      <w:t xml:space="preserve">  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263"/>
      <w:spacing w:before="1" w:line="176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4"/>
      </w:rPr>
      <w:t>—9</w:t>
    </w:r>
    <w:r>
      <w:rPr>
        <w:rFonts w:ascii="SimSun" w:hAnsi="SimSun" w:eastAsia="SimSun" w:cs="SimSun"/>
        <w:sz w:val="30"/>
        <w:szCs w:val="30"/>
        <w:spacing w:val="110"/>
      </w:rPr>
      <w:t xml:space="preserve"> </w:t>
    </w:r>
    <w:r>
      <w:rPr>
        <w:rFonts w:ascii="SimSun" w:hAnsi="SimSun" w:eastAsia="SimSun" w:cs="SimSun"/>
        <w:sz w:val="30"/>
        <w:szCs w:val="30"/>
        <w:spacing w:val="-4"/>
      </w:rPr>
      <w:t>—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Relationship Id="rId38" Type="http://schemas.openxmlformats.org/officeDocument/2006/relationships/fontTable" Target="fontTable.xml"/><Relationship Id="rId37" Type="http://schemas.openxmlformats.org/officeDocument/2006/relationships/styles" Target="styles.xml"/><Relationship Id="rId36" Type="http://schemas.openxmlformats.org/officeDocument/2006/relationships/settings" Target="settings.xml"/><Relationship Id="rId35" Type="http://schemas.openxmlformats.org/officeDocument/2006/relationships/header" Target="header1.xml"/><Relationship Id="rId34" Type="http://schemas.openxmlformats.org/officeDocument/2006/relationships/footer" Target="footer16.xml"/><Relationship Id="rId33" Type="http://schemas.openxmlformats.org/officeDocument/2006/relationships/footer" Target="footer15.xml"/><Relationship Id="rId32" Type="http://schemas.openxmlformats.org/officeDocument/2006/relationships/footer" Target="footer14.xml"/><Relationship Id="rId31" Type="http://schemas.openxmlformats.org/officeDocument/2006/relationships/footer" Target="footer13.xml"/><Relationship Id="rId30" Type="http://schemas.openxmlformats.org/officeDocument/2006/relationships/footer" Target="footer12.xml"/><Relationship Id="rId3" Type="http://schemas.openxmlformats.org/officeDocument/2006/relationships/footer" Target="footer2.xml"/><Relationship Id="rId29" Type="http://schemas.openxmlformats.org/officeDocument/2006/relationships/footer" Target="footer11.xml"/><Relationship Id="rId28" Type="http://schemas.openxmlformats.org/officeDocument/2006/relationships/footer" Target="footer10.xml"/><Relationship Id="rId27" Type="http://schemas.openxmlformats.org/officeDocument/2006/relationships/footer" Target="footer9.xml"/><Relationship Id="rId26" Type="http://schemas.openxmlformats.org/officeDocument/2006/relationships/footer" Target="footer8.xml"/><Relationship Id="rId25" Type="http://schemas.openxmlformats.org/officeDocument/2006/relationships/footer" Target="footer7.xml"/><Relationship Id="rId24" Type="http://schemas.openxmlformats.org/officeDocument/2006/relationships/footer" Target="footer6.xml"/><Relationship Id="rId23" Type="http://schemas.openxmlformats.org/officeDocument/2006/relationships/footer" Target="footer5.xml"/><Relationship Id="rId22" Type="http://schemas.openxmlformats.org/officeDocument/2006/relationships/footer" Target="footer4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image" Target="media/image1.jpeg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footer" Target="footer3.xml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2023-12-04T16:24:40Z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2023-12-04T16:24:43</vt:filetime>
  </property>
  <property fmtid="{D5CDD505-2E9C-101B-9397-08002B2CF9AE}" pid="4" name="UsrData">
    <vt:lpwstr>656d8cbf98caa6001f6cdd8fwl</vt:lpwstr>
  </property>
</Properties>
</file>